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98BD4" w14:textId="2E2466B9" w:rsidR="00DC7C29" w:rsidRPr="0052548E" w:rsidRDefault="00DC7C29" w:rsidP="00DC7C29">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BF52D4" w:rsidRPr="00BF52D4">
        <w:rPr>
          <w:rFonts w:ascii="Arial" w:hAnsi="Arial" w:cs="Arial"/>
          <w:b/>
          <w:bCs/>
          <w:sz w:val="28"/>
        </w:rPr>
        <w:t>R1-2112131</w:t>
      </w:r>
    </w:p>
    <w:p w14:paraId="4F26134A" w14:textId="77777777" w:rsidR="00DC7C29" w:rsidRPr="009513AC" w:rsidRDefault="00DC7C29" w:rsidP="00DC7C29">
      <w:pPr>
        <w:tabs>
          <w:tab w:val="center" w:pos="4536"/>
          <w:tab w:val="right" w:pos="9072"/>
        </w:tabs>
        <w:rPr>
          <w:rFonts w:ascii="Arial" w:eastAsia="ＭＳ 明朝" w:hAnsi="Arial" w:cs="Arial"/>
          <w:b/>
          <w:bCs/>
          <w:sz w:val="28"/>
        </w:rPr>
      </w:pPr>
      <w:r>
        <w:rPr>
          <w:rFonts w:ascii="Arial" w:eastAsia="ＭＳ 明朝" w:hAnsi="Arial" w:cs="Arial"/>
          <w:b/>
          <w:bCs/>
          <w:sz w:val="28"/>
        </w:rPr>
        <w:t>e-Meeting, November 11</w:t>
      </w:r>
      <w:r w:rsidRPr="00B552FA">
        <w:rPr>
          <w:rFonts w:ascii="Arial" w:eastAsia="ＭＳ 明朝" w:hAnsi="Arial" w:cs="Arial"/>
          <w:b/>
          <w:bCs/>
          <w:sz w:val="28"/>
          <w:vertAlign w:val="superscript"/>
        </w:rPr>
        <w:t>th</w:t>
      </w:r>
      <w:r>
        <w:rPr>
          <w:rFonts w:ascii="Arial" w:eastAsia="ＭＳ 明朝" w:hAnsi="Arial" w:cs="Arial"/>
          <w:b/>
          <w:bCs/>
          <w:sz w:val="28"/>
        </w:rPr>
        <w:t xml:space="preserve"> – 19</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0EEEDEB5" w14:textId="77777777" w:rsidR="008A34D9" w:rsidRPr="00DC7C29"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602ACCF"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530CA7">
        <w:rPr>
          <w:sz w:val="24"/>
          <w:lang w:val="en-US"/>
        </w:rPr>
        <w:t xml:space="preserve">Discussion on </w:t>
      </w:r>
      <w:r w:rsidR="00A07ADB" w:rsidRPr="00530CA7">
        <w:rPr>
          <w:sz w:val="24"/>
          <w:lang w:val="en-US"/>
        </w:rPr>
        <w:t>cross-carrier scheduling enhancements</w:t>
      </w:r>
      <w:r w:rsidR="00AD5688" w:rsidRPr="00530CA7">
        <w:rPr>
          <w:sz w:val="24"/>
          <w:lang w:val="en-US"/>
        </w:rPr>
        <w:t xml:space="preserve"> for NR </w:t>
      </w:r>
      <w:r w:rsidR="00D308CF" w:rsidRPr="00530CA7">
        <w:rPr>
          <w:sz w:val="24"/>
          <w:lang w:val="en-US"/>
        </w:rPr>
        <w:t>DSS</w:t>
      </w:r>
    </w:p>
    <w:p w14:paraId="0EEEDEB8" w14:textId="2794DDE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D308CF">
        <w:rPr>
          <w:sz w:val="24"/>
          <w:lang w:val="en-US" w:eastAsia="ja-JP"/>
        </w:rPr>
        <w:t>8.13.1</w:t>
      </w:r>
    </w:p>
    <w:p w14:paraId="0EEEDEB9" w14:textId="77777777" w:rsidR="00900DAE" w:rsidRPr="00D308CF" w:rsidRDefault="00900DAE" w:rsidP="00D02352">
      <w:pPr>
        <w:pBdr>
          <w:bottom w:val="single" w:sz="6" w:space="1" w:color="auto"/>
        </w:pBdr>
        <w:ind w:left="1800" w:hanging="1800"/>
        <w:rPr>
          <w:rFonts w:ascii="Arial" w:hAnsi="Arial"/>
          <w:b/>
          <w:color w:val="FF0000"/>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D308CF">
        <w:rPr>
          <w:rFonts w:ascii="Arial" w:hAnsi="Arial"/>
          <w:b/>
          <w:color w:val="FF0000"/>
          <w:lang w:val="en-US"/>
        </w:rPr>
        <w:tab/>
      </w:r>
      <w:r w:rsidRPr="00A07ADB">
        <w:rPr>
          <w:rFonts w:ascii="Arial" w:hAnsi="Arial"/>
          <w:b/>
          <w:lang w:val="en-US"/>
        </w:rPr>
        <w:t>Discus</w:t>
      </w:r>
      <w:r w:rsidRPr="0003093E">
        <w:rPr>
          <w:rFonts w:ascii="Arial" w:hAnsi="Arial"/>
          <w:b/>
          <w:lang w:val="en-US"/>
        </w:rPr>
        <w:t>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F7D926" w14:textId="2E2E8DB6" w:rsidR="00F9607B" w:rsidRPr="00E43940" w:rsidRDefault="00F9607B" w:rsidP="00F9607B">
      <w:pPr>
        <w:spacing w:afterLines="50" w:after="120"/>
        <w:rPr>
          <w:sz w:val="22"/>
          <w:lang w:val="en-US"/>
        </w:rPr>
      </w:pPr>
      <w:r>
        <w:rPr>
          <w:sz w:val="22"/>
          <w:szCs w:val="22"/>
          <w:lang w:val="en-US"/>
        </w:rPr>
        <w:t xml:space="preserve">At the previous meetings, </w:t>
      </w:r>
      <w:r w:rsidR="00FA503B">
        <w:rPr>
          <w:rFonts w:hint="eastAsia"/>
          <w:sz w:val="22"/>
          <w:szCs w:val="22"/>
          <w:lang w:val="en-US"/>
        </w:rPr>
        <w:t>c</w:t>
      </w:r>
      <w:r w:rsidR="00FA503B">
        <w:rPr>
          <w:sz w:val="22"/>
          <w:szCs w:val="22"/>
          <w:lang w:val="en-US"/>
        </w:rPr>
        <w:t>ross-carrier scheduling enhancements from sSCell to P(S)Cell</w:t>
      </w:r>
      <w:r>
        <w:rPr>
          <w:sz w:val="22"/>
          <w:szCs w:val="22"/>
          <w:lang w:val="en-US"/>
        </w:rPr>
        <w:t xml:space="preserve"> were discussed, and </w:t>
      </w:r>
      <w:r>
        <w:rPr>
          <w:rFonts w:hint="eastAsia"/>
          <w:sz w:val="22"/>
          <w:szCs w:val="22"/>
          <w:lang w:val="en-US"/>
        </w:rPr>
        <w:t xml:space="preserve">RAN1 </w:t>
      </w:r>
      <w:r>
        <w:rPr>
          <w:sz w:val="22"/>
          <w:szCs w:val="22"/>
          <w:lang w:val="en-US"/>
        </w:rPr>
        <w:t>made following agreements and conclusion [</w:t>
      </w:r>
      <w:r w:rsidR="00704AE6">
        <w:rPr>
          <w:sz w:val="22"/>
          <w:szCs w:val="22"/>
          <w:lang w:val="en-US"/>
        </w:rPr>
        <w:t>1]</w:t>
      </w:r>
      <w:r>
        <w:rPr>
          <w:sz w:val="22"/>
          <w:szCs w:val="22"/>
          <w:lang w:val="en-US"/>
        </w:rPr>
        <w:t>.</w:t>
      </w:r>
    </w:p>
    <w:tbl>
      <w:tblPr>
        <w:tblStyle w:val="afb"/>
        <w:tblW w:w="0" w:type="auto"/>
        <w:tblLook w:val="04A0" w:firstRow="1" w:lastRow="0" w:firstColumn="1" w:lastColumn="0" w:noHBand="0" w:noVBand="1"/>
      </w:tblPr>
      <w:tblGrid>
        <w:gridCol w:w="9962"/>
      </w:tblGrid>
      <w:tr w:rsidR="00C63962" w14:paraId="6977ABF6" w14:textId="77777777" w:rsidTr="00F83F04">
        <w:tc>
          <w:tcPr>
            <w:tcW w:w="9962" w:type="dxa"/>
          </w:tcPr>
          <w:p w14:paraId="4AEBA553" w14:textId="77777777" w:rsidR="00DC7C29" w:rsidRPr="00DC7C29" w:rsidRDefault="00DC7C29" w:rsidP="00DC7C29">
            <w:pPr>
              <w:jc w:val="left"/>
              <w:rPr>
                <w:rFonts w:ascii="Times" w:eastAsia="DengXian" w:hAnsi="Times"/>
                <w:sz w:val="20"/>
                <w:szCs w:val="24"/>
                <w:lang w:val="en-US" w:eastAsia="zh-CN"/>
              </w:rPr>
            </w:pPr>
            <w:r w:rsidRPr="00DC7C29">
              <w:rPr>
                <w:rFonts w:ascii="Times" w:eastAsia="DengXian" w:hAnsi="Times"/>
                <w:sz w:val="20"/>
                <w:szCs w:val="24"/>
                <w:highlight w:val="green"/>
                <w:lang w:val="en-US" w:eastAsia="zh-CN"/>
              </w:rPr>
              <w:t>Agreement</w:t>
            </w:r>
          </w:p>
          <w:p w14:paraId="4D323A64" w14:textId="77777777" w:rsidR="00DC7C29" w:rsidRPr="00DC7C29" w:rsidRDefault="00DC7C29" w:rsidP="00DC7C29">
            <w:pPr>
              <w:jc w:val="left"/>
              <w:rPr>
                <w:rFonts w:ascii="Times" w:eastAsia="DengXian" w:hAnsi="Times"/>
                <w:sz w:val="20"/>
                <w:szCs w:val="24"/>
                <w:lang w:val="en-US" w:eastAsia="zh-CN"/>
              </w:rPr>
            </w:pPr>
            <w:r w:rsidRPr="00DC7C29">
              <w:rPr>
                <w:rFonts w:ascii="Times" w:eastAsia="DengXian" w:hAnsi="Times" w:hint="eastAsia"/>
                <w:sz w:val="20"/>
                <w:szCs w:val="24"/>
                <w:lang w:val="en-US" w:eastAsia="zh-CN"/>
              </w:rPr>
              <w:t>O</w:t>
            </w:r>
            <w:r w:rsidRPr="00DC7C29">
              <w:rPr>
                <w:rFonts w:ascii="Times" w:eastAsia="DengXian" w:hAnsi="Times"/>
                <w:sz w:val="20"/>
                <w:szCs w:val="24"/>
                <w:lang w:val="en-US" w:eastAsia="zh-CN"/>
              </w:rPr>
              <w:t>ption A is supported in Rel-17</w:t>
            </w:r>
          </w:p>
          <w:p w14:paraId="1AF6F4FC" w14:textId="5AF2E22E" w:rsidR="00DC7C29" w:rsidRPr="00DC7C29" w:rsidRDefault="00DC7C29" w:rsidP="00081588">
            <w:pPr>
              <w:numPr>
                <w:ilvl w:val="0"/>
                <w:numId w:val="8"/>
              </w:numPr>
              <w:spacing w:after="160" w:line="259" w:lineRule="auto"/>
              <w:contextualSpacing/>
              <w:jc w:val="left"/>
              <w:rPr>
                <w:rFonts w:ascii="Times" w:eastAsia="Batang" w:hAnsi="Times"/>
                <w:sz w:val="20"/>
                <w:szCs w:val="24"/>
                <w:lang w:eastAsia="en-US"/>
              </w:rPr>
            </w:pPr>
            <w:r w:rsidRPr="00DC7C29">
              <w:rPr>
                <w:rFonts w:ascii="Times" w:eastAsia="Batang" w:hAnsi="Times"/>
                <w:sz w:val="20"/>
                <w:szCs w:val="24"/>
                <w:lang w:eastAsia="en-US"/>
              </w:rPr>
              <w:t xml:space="preserve">At least for Type B UE, when the UE is configured for CCS from sSCell to P(S)Cell and </w:t>
            </w:r>
            <w:r w:rsidRPr="00DC7C29">
              <w:rPr>
                <w:rFonts w:ascii="Times" w:eastAsia="Batang" w:hAnsi="Times"/>
                <w:sz w:val="20"/>
                <w:szCs w:val="24"/>
                <w:lang w:eastAsia="zh-CN"/>
              </w:rPr>
              <w:t>when P(S)Cell SCS (</w:t>
            </w:r>
            <m:oMath>
              <m:r>
                <m:rPr>
                  <m:sty m:val="p"/>
                </m:rPr>
                <w:rPr>
                  <w:rFonts w:ascii="Cambria Math" w:hAnsi="Cambria Math"/>
                </w:rPr>
                <m:t>μ</m:t>
              </m:r>
            </m:oMath>
            <w:r w:rsidRPr="00DC7C29">
              <w:rPr>
                <w:rFonts w:ascii="Times" w:eastAsia="Batang" w:hAnsi="Times"/>
                <w:sz w:val="20"/>
                <w:szCs w:val="24"/>
                <w:lang w:eastAsia="zh-CN"/>
              </w:rPr>
              <w:t>) is less than or equal to sSCell SCS (</w:t>
            </w:r>
            <m:oMath>
              <m:r>
                <m:rPr>
                  <m:sty m:val="p"/>
                </m:rPr>
                <w:rPr>
                  <w:rFonts w:ascii="Cambria Math" w:hAnsi="Cambria Math"/>
                </w:rPr>
                <m:t>μ1</m:t>
              </m:r>
            </m:oMath>
            <w:r w:rsidRPr="00DC7C29">
              <w:rPr>
                <w:rFonts w:ascii="Times" w:eastAsia="Batang" w:hAnsi="Times"/>
                <w:sz w:val="20"/>
                <w:szCs w:val="24"/>
                <w:lang w:eastAsia="zh-CN"/>
              </w:rPr>
              <w:t>),[and at least when UE is not provided</w:t>
            </w:r>
            <w:r w:rsidRPr="00DC7C29">
              <w:rPr>
                <w:rFonts w:ascii="Times" w:eastAsia="Batang" w:hAnsi="Times"/>
                <w:sz w:val="20"/>
                <w:szCs w:val="24"/>
                <w:lang w:eastAsia="en-US"/>
              </w:rPr>
              <w:t xml:space="preserve"> monitoringCapabilityConfig for any cell]</w:t>
            </w:r>
          </w:p>
          <w:p w14:paraId="0F21152E" w14:textId="77777777" w:rsidR="00DC7C29" w:rsidRPr="00DC7C29" w:rsidRDefault="00DC7C29" w:rsidP="00081588">
            <w:pPr>
              <w:numPr>
                <w:ilvl w:val="1"/>
                <w:numId w:val="8"/>
              </w:numPr>
              <w:spacing w:after="160" w:line="259" w:lineRule="auto"/>
              <w:contextualSpacing/>
              <w:jc w:val="left"/>
              <w:rPr>
                <w:rFonts w:ascii="Times" w:eastAsia="Batang" w:hAnsi="Times"/>
                <w:sz w:val="20"/>
                <w:szCs w:val="24"/>
                <w:lang w:eastAsia="en-US"/>
              </w:rPr>
            </w:pPr>
            <w:r w:rsidRPr="00DC7C29">
              <w:rPr>
                <w:rFonts w:ascii="Times" w:eastAsia="Batang" w:hAnsi="Times"/>
                <w:sz w:val="20"/>
                <w:szCs w:val="24"/>
                <w:lang w:eastAsia="en-US"/>
              </w:rPr>
              <w:t>Option A</w:t>
            </w:r>
          </w:p>
          <w:p w14:paraId="033650F1" w14:textId="77777777" w:rsidR="00DC7C29" w:rsidRPr="00DC7C29" w:rsidRDefault="00DC7C29" w:rsidP="00081588">
            <w:pPr>
              <w:numPr>
                <w:ilvl w:val="2"/>
                <w:numId w:val="8"/>
              </w:numPr>
              <w:spacing w:after="160" w:line="259" w:lineRule="auto"/>
              <w:contextualSpacing/>
              <w:jc w:val="left"/>
              <w:rPr>
                <w:rFonts w:ascii="Times" w:eastAsia="Batang" w:hAnsi="Times"/>
                <w:sz w:val="20"/>
                <w:szCs w:val="24"/>
                <w:lang w:eastAsia="x-none"/>
              </w:rPr>
            </w:pPr>
            <w:r w:rsidRPr="00DC7C29">
              <w:rPr>
                <w:rFonts w:ascii="Times" w:eastAsia="Batang" w:hAnsi="Times"/>
                <w:sz w:val="20"/>
                <w:szCs w:val="24"/>
                <w:lang w:eastAsia="x-none"/>
              </w:rPr>
              <w:t>On P(S)Cell (for self-scheduling)</w:t>
            </w:r>
          </w:p>
          <w:p w14:paraId="55CBEF1D" w14:textId="283D462C" w:rsidR="00DC7C29" w:rsidRPr="00DC7C29" w:rsidRDefault="00DC7C29" w:rsidP="00081588">
            <w:pPr>
              <w:numPr>
                <w:ilvl w:val="3"/>
                <w:numId w:val="8"/>
              </w:numPr>
              <w:spacing w:after="160" w:line="259" w:lineRule="auto"/>
              <w:contextualSpacing/>
              <w:jc w:val="left"/>
              <w:rPr>
                <w:rFonts w:ascii="Times" w:eastAsia="Batang" w:hAnsi="Times"/>
                <w:sz w:val="20"/>
                <w:szCs w:val="24"/>
                <w:lang w:eastAsia="x-none"/>
              </w:rPr>
            </w:pPr>
            <w:r w:rsidRPr="00DC7C29">
              <w:rPr>
                <w:rFonts w:ascii="Times" w:eastAsia="Batang" w:hAnsi="Times"/>
                <w:sz w:val="20"/>
                <w:szCs w:val="24"/>
                <w:lang w:eastAsia="x-none"/>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C7C29">
              <w:rPr>
                <w:rFonts w:ascii="Times" w:eastAsia="DengXian" w:hAnsi="Times"/>
                <w:sz w:val="20"/>
                <w:szCs w:val="24"/>
                <w:lang w:eastAsia="x-none"/>
              </w:rPr>
              <w:t xml:space="preserve"> PDCCH BD candidates per P(S)Cell slot</w:t>
            </w:r>
          </w:p>
          <w:p w14:paraId="0BA102E8" w14:textId="77777777" w:rsidR="00DC7C29" w:rsidRPr="00DC7C29" w:rsidRDefault="00DC7C29" w:rsidP="00081588">
            <w:pPr>
              <w:numPr>
                <w:ilvl w:val="2"/>
                <w:numId w:val="8"/>
              </w:numPr>
              <w:spacing w:after="160" w:line="259" w:lineRule="auto"/>
              <w:contextualSpacing/>
              <w:jc w:val="left"/>
              <w:rPr>
                <w:rFonts w:ascii="Times" w:eastAsia="Batang" w:hAnsi="Times"/>
                <w:sz w:val="20"/>
                <w:szCs w:val="24"/>
                <w:lang w:eastAsia="x-none"/>
              </w:rPr>
            </w:pPr>
            <w:r w:rsidRPr="00DC7C29">
              <w:rPr>
                <w:rFonts w:ascii="Times" w:eastAsia="DengXian" w:hAnsi="Times"/>
                <w:sz w:val="20"/>
                <w:szCs w:val="24"/>
                <w:lang w:eastAsia="x-none"/>
              </w:rPr>
              <w:t>On sSCell (for cross-carrier scheduling to P(S)Cell)</w:t>
            </w:r>
          </w:p>
          <w:p w14:paraId="3AF940D1" w14:textId="481BBEF6" w:rsidR="00DC7C29" w:rsidRPr="00DC7C29" w:rsidRDefault="00DC7C29" w:rsidP="00081588">
            <w:pPr>
              <w:numPr>
                <w:ilvl w:val="3"/>
                <w:numId w:val="8"/>
              </w:numPr>
              <w:spacing w:after="160" w:line="259" w:lineRule="auto"/>
              <w:contextualSpacing/>
              <w:jc w:val="left"/>
              <w:rPr>
                <w:rFonts w:ascii="Times" w:eastAsia="Batang" w:hAnsi="Times"/>
                <w:sz w:val="20"/>
                <w:szCs w:val="24"/>
                <w:lang w:eastAsia="x-none"/>
              </w:rPr>
            </w:pPr>
            <w:r w:rsidRPr="00DC7C29">
              <w:rPr>
                <w:rFonts w:ascii="Times" w:eastAsia="Batang" w:hAnsi="Times"/>
                <w:sz w:val="20"/>
                <w:szCs w:val="24"/>
                <w:lang w:eastAsia="x-none"/>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C7C29">
              <w:rPr>
                <w:rFonts w:ascii="Times" w:eastAsia="DengXian" w:hAnsi="Times"/>
                <w:sz w:val="20"/>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C7C29">
              <w:rPr>
                <w:rFonts w:ascii="Times" w:eastAsia="DengXian" w:hAnsi="Times"/>
                <w:sz w:val="20"/>
                <w:szCs w:val="24"/>
                <w:lang w:eastAsia="x-none"/>
              </w:rPr>
              <w:t>] PDCCH BD candidates per sSCell slot</w:t>
            </w:r>
          </w:p>
          <w:p w14:paraId="07387728" w14:textId="2FAA1EBB" w:rsidR="00DC7C29" w:rsidRPr="00DC7C29" w:rsidRDefault="00DC7C29" w:rsidP="00081588">
            <w:pPr>
              <w:numPr>
                <w:ilvl w:val="3"/>
                <w:numId w:val="8"/>
              </w:numPr>
              <w:spacing w:after="160" w:line="259" w:lineRule="auto"/>
              <w:contextualSpacing/>
              <w:jc w:val="left"/>
              <w:rPr>
                <w:rFonts w:ascii="Times" w:eastAsia="Batang" w:hAnsi="Times"/>
                <w:sz w:val="20"/>
                <w:szCs w:val="24"/>
                <w:lang w:eastAsia="x-none"/>
              </w:rPr>
            </w:pPr>
            <w:r w:rsidRPr="00DC7C29">
              <w:rPr>
                <w:rFonts w:ascii="Times" w:eastAsia="Batang" w:hAnsi="Times"/>
                <w:sz w:val="20"/>
                <w:szCs w:val="24"/>
                <w:lang w:eastAsia="x-none"/>
              </w:rP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C7C29">
              <w:rPr>
                <w:rFonts w:ascii="Times" w:eastAsia="DengXian" w:hAnsi="Times"/>
                <w:sz w:val="20"/>
                <w:szCs w:val="24"/>
                <w:lang w:eastAsia="x-none"/>
              </w:rPr>
              <w:t xml:space="preserve"> PDCCH BD candidates per P(S)Cell slot</w:t>
            </w:r>
          </w:p>
          <w:p w14:paraId="1C3FFC38" w14:textId="4C78B74A" w:rsidR="00DC7C29" w:rsidRPr="00DC7C29" w:rsidRDefault="00DC7C29" w:rsidP="00081588">
            <w:pPr>
              <w:numPr>
                <w:ilvl w:val="2"/>
                <w:numId w:val="8"/>
              </w:numPr>
              <w:spacing w:after="160" w:line="259" w:lineRule="auto"/>
              <w:contextualSpacing/>
              <w:jc w:val="left"/>
              <w:rPr>
                <w:rFonts w:ascii="Times" w:eastAsia="Batang" w:hAnsi="Times"/>
                <w:sz w:val="20"/>
                <w:szCs w:val="24"/>
                <w:lang w:eastAsia="x-none"/>
              </w:rPr>
            </w:pPr>
            <m:oMath>
              <m:r>
                <m:rPr>
                  <m:sty m:val="p"/>
                </m:rPr>
                <w:rPr>
                  <w:rFonts w:ascii="Cambria Math" w:hAnsi="Cambria Math"/>
                </w:rPr>
                <m:t>0≤α≤1</m:t>
              </m:r>
            </m:oMath>
            <w:r w:rsidRPr="00DC7C29">
              <w:rPr>
                <w:rFonts w:ascii="Times" w:eastAsia="Batang" w:hAnsi="Times"/>
                <w:sz w:val="20"/>
                <w:szCs w:val="24"/>
                <w:lang w:eastAsia="x-none"/>
              </w:rPr>
              <w:t xml:space="preserve">  is based on RRC configuration </w:t>
            </w:r>
          </w:p>
          <w:p w14:paraId="5DBBBD25" w14:textId="3B359F87" w:rsidR="00DC7C29" w:rsidRPr="00DC7C29" w:rsidRDefault="00DC7C29" w:rsidP="00081588">
            <w:pPr>
              <w:numPr>
                <w:ilvl w:val="2"/>
                <w:numId w:val="8"/>
              </w:numPr>
              <w:spacing w:after="160" w:line="259" w:lineRule="auto"/>
              <w:contextualSpacing/>
              <w:jc w:val="left"/>
              <w:rPr>
                <w:rFonts w:ascii="Times" w:eastAsia="Batang" w:hAnsi="Times"/>
                <w:sz w:val="20"/>
                <w:szCs w:val="24"/>
                <w:lang w:eastAsia="x-none"/>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C7C29">
              <w:rPr>
                <w:rFonts w:ascii="Times" w:eastAsia="DengXian" w:hAnsi="Times"/>
                <w:sz w:val="20"/>
                <w:szCs w:val="24"/>
                <w:lang w:eastAsia="x-none"/>
              </w:rPr>
              <w:t xml:space="preserve">  is used for P(S)Cell overbooking procedure</w:t>
            </w:r>
          </w:p>
          <w:p w14:paraId="06541541" w14:textId="5A804AE7" w:rsidR="00DC7C29" w:rsidRPr="00DC7C29" w:rsidRDefault="00DC7C29" w:rsidP="00081588">
            <w:pPr>
              <w:numPr>
                <w:ilvl w:val="2"/>
                <w:numId w:val="8"/>
              </w:numPr>
              <w:spacing w:after="160" w:line="259" w:lineRule="auto"/>
              <w:contextualSpacing/>
              <w:jc w:val="left"/>
              <w:rPr>
                <w:rFonts w:ascii="Times" w:eastAsia="Batang" w:hAnsi="Times"/>
                <w:sz w:val="20"/>
                <w:szCs w:val="24"/>
                <w:lang w:eastAsia="x-none"/>
              </w:rPr>
            </w:pPr>
            <w:r w:rsidRPr="00DC7C29">
              <w:rPr>
                <w:rFonts w:ascii="Times" w:eastAsia="Batang" w:hAnsi="Times"/>
                <w:sz w:val="20"/>
                <w:szCs w:val="24"/>
                <w:lang w:eastAsia="x-none"/>
              </w:rP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DC7C29">
              <w:rPr>
                <w:rFonts w:ascii="Times" w:eastAsia="Batang" w:hAnsi="Times"/>
                <w:sz w:val="20"/>
                <w:szCs w:val="24"/>
                <w:lang w:eastAsia="x-none"/>
              </w:rP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DC7C29">
              <w:rPr>
                <w:rFonts w:ascii="Times" w:eastAsia="Batang" w:hAnsi="Times"/>
                <w:sz w:val="20"/>
                <w:szCs w:val="24"/>
                <w:lang w:eastAsia="x-none"/>
              </w:rPr>
              <w:t xml:space="preserve"> </w:t>
            </w:r>
          </w:p>
          <w:p w14:paraId="62C005CD" w14:textId="77777777" w:rsidR="00DC7C29" w:rsidRPr="00DC7C29" w:rsidRDefault="00DC7C29" w:rsidP="00081588">
            <w:pPr>
              <w:numPr>
                <w:ilvl w:val="3"/>
                <w:numId w:val="8"/>
              </w:numPr>
              <w:spacing w:after="160" w:line="259" w:lineRule="auto"/>
              <w:contextualSpacing/>
              <w:jc w:val="left"/>
              <w:rPr>
                <w:rFonts w:ascii="Times" w:eastAsia="Batang" w:hAnsi="Times"/>
                <w:sz w:val="20"/>
                <w:szCs w:val="24"/>
                <w:lang w:eastAsia="x-none"/>
              </w:rPr>
            </w:pPr>
            <w:r w:rsidRPr="00DC7C29">
              <w:rPr>
                <w:rFonts w:ascii="Times" w:eastAsia="Batang" w:hAnsi="Times"/>
                <w:sz w:val="20"/>
                <w:szCs w:val="24"/>
                <w:lang w:eastAsia="x-none"/>
              </w:rPr>
              <w:t xml:space="preserve">P(S)Cell self-scheduling is counted by applying scaling factor s1 </w:t>
            </w:r>
          </w:p>
          <w:p w14:paraId="7BAB633C" w14:textId="77777777" w:rsidR="00DC7C29" w:rsidRPr="00DC7C29" w:rsidRDefault="00DC7C29" w:rsidP="00081588">
            <w:pPr>
              <w:numPr>
                <w:ilvl w:val="3"/>
                <w:numId w:val="8"/>
              </w:numPr>
              <w:tabs>
                <w:tab w:val="left" w:pos="720"/>
                <w:tab w:val="left" w:pos="1440"/>
                <w:tab w:val="left" w:pos="2160"/>
              </w:tabs>
              <w:contextualSpacing/>
              <w:jc w:val="left"/>
              <w:rPr>
                <w:rFonts w:ascii="Times" w:eastAsia="Batang" w:hAnsi="Times"/>
                <w:sz w:val="20"/>
                <w:szCs w:val="24"/>
                <w:lang w:val="en-US" w:eastAsia="zh-CN"/>
              </w:rPr>
            </w:pPr>
            <w:r w:rsidRPr="00DC7C29">
              <w:rPr>
                <w:rFonts w:ascii="Times" w:eastAsia="Batang" w:hAnsi="Times"/>
                <w:sz w:val="20"/>
                <w:szCs w:val="24"/>
                <w:lang w:eastAsia="x-none"/>
              </w:rPr>
              <w:t>sSCell to P(S)Cell scheduling is counted additionally (assuming SCS of sSCell) by applying scaling factor s2</w:t>
            </w:r>
          </w:p>
          <w:p w14:paraId="790AE5DC" w14:textId="77777777" w:rsidR="00DC7C29" w:rsidRPr="00DC7C29" w:rsidRDefault="00DC7C29" w:rsidP="00081588">
            <w:pPr>
              <w:numPr>
                <w:ilvl w:val="3"/>
                <w:numId w:val="8"/>
              </w:numPr>
              <w:tabs>
                <w:tab w:val="left" w:pos="720"/>
                <w:tab w:val="left" w:pos="1440"/>
                <w:tab w:val="left" w:pos="2160"/>
              </w:tabs>
              <w:contextualSpacing/>
              <w:jc w:val="left"/>
              <w:rPr>
                <w:rFonts w:ascii="Times" w:eastAsia="Batang" w:hAnsi="Times"/>
                <w:color w:val="C45911"/>
                <w:sz w:val="20"/>
                <w:szCs w:val="24"/>
                <w:lang w:val="en-US" w:eastAsia="zh-CN"/>
              </w:rPr>
            </w:pPr>
            <w:r w:rsidRPr="00DC7C29">
              <w:rPr>
                <w:rFonts w:ascii="Times" w:eastAsia="Batang" w:hAnsi="Times"/>
                <w:color w:val="C45911"/>
                <w:sz w:val="20"/>
                <w:szCs w:val="24"/>
                <w:lang w:eastAsia="x-none"/>
              </w:rPr>
              <w:t>s1=1 and s2=0</w:t>
            </w:r>
            <w:r w:rsidRPr="00DC7C29">
              <w:rPr>
                <w:rFonts w:ascii="Times" w:eastAsia="DengXian" w:hAnsi="Times" w:hint="eastAsia"/>
                <w:color w:val="C45911"/>
                <w:sz w:val="20"/>
                <w:szCs w:val="24"/>
                <w:lang w:val="en-US" w:eastAsia="zh-CN"/>
              </w:rPr>
              <w:t>,</w:t>
            </w:r>
            <w:r w:rsidRPr="00DC7C29">
              <w:rPr>
                <w:rFonts w:ascii="Times" w:eastAsia="DengXian" w:hAnsi="Times"/>
                <w:color w:val="C45911"/>
                <w:sz w:val="20"/>
                <w:szCs w:val="24"/>
                <w:lang w:val="en-US" w:eastAsia="zh-CN"/>
              </w:rPr>
              <w:t xml:space="preserve"> FFS other s1 and s2</w:t>
            </w:r>
          </w:p>
          <w:p w14:paraId="32212CDF" w14:textId="187B4832" w:rsidR="00DC7C29" w:rsidRPr="00DC7C29" w:rsidRDefault="00DC7C29" w:rsidP="00081588">
            <w:pPr>
              <w:numPr>
                <w:ilvl w:val="3"/>
                <w:numId w:val="8"/>
              </w:numPr>
              <w:tabs>
                <w:tab w:val="left" w:pos="720"/>
                <w:tab w:val="left" w:pos="1440"/>
                <w:tab w:val="left" w:pos="2160"/>
              </w:tabs>
              <w:contextualSpacing/>
              <w:jc w:val="left"/>
              <w:rPr>
                <w:rFonts w:ascii="Times" w:eastAsia="Batang" w:hAnsi="Times"/>
                <w:strike/>
                <w:sz w:val="20"/>
                <w:szCs w:val="24"/>
                <w:lang w:val="en-US" w:eastAsia="zh-CN"/>
              </w:rPr>
            </w:pPr>
            <m:oMath>
              <m:r>
                <m:rPr>
                  <m:sty m:val="p"/>
                </m:rPr>
                <w:rPr>
                  <w:rFonts w:ascii="Cambria Math" w:hAnsi="Cambria Math"/>
                  <w:strike/>
                </w:rPr>
                <m:t>0≤s1≤1</m:t>
              </m:r>
            </m:oMath>
            <w:r w:rsidRPr="00DC7C29">
              <w:rPr>
                <w:rFonts w:ascii="Times" w:eastAsia="Batang" w:hAnsi="Times"/>
                <w:strike/>
                <w:sz w:val="20"/>
                <w:szCs w:val="24"/>
                <w:lang w:eastAsia="x-none"/>
              </w:rPr>
              <w:t xml:space="preserve">  and </w:t>
            </w:r>
            <m:oMath>
              <m:r>
                <m:rPr>
                  <m:sty m:val="p"/>
                </m:rPr>
                <w:rPr>
                  <w:rFonts w:ascii="Cambria Math" w:hAnsi="Cambria Math"/>
                  <w:strike/>
                </w:rPr>
                <m:t>0≤s2≤1</m:t>
              </m:r>
            </m:oMath>
            <w:r w:rsidRPr="00DC7C29">
              <w:rPr>
                <w:rFonts w:ascii="Times" w:eastAsia="Batang" w:hAnsi="Times"/>
                <w:strike/>
                <w:sz w:val="20"/>
                <w:szCs w:val="24"/>
                <w:lang w:eastAsia="x-none"/>
              </w:rPr>
              <w:t xml:space="preserve"> are based on RRC configuration</w:t>
            </w:r>
          </w:p>
          <w:p w14:paraId="3DC33BE8" w14:textId="1D465FAD" w:rsidR="00DC7C29" w:rsidRPr="00DC7C29" w:rsidRDefault="00DC7C29" w:rsidP="00081588">
            <w:pPr>
              <w:numPr>
                <w:ilvl w:val="4"/>
                <w:numId w:val="8"/>
              </w:numPr>
              <w:spacing w:after="160" w:line="259" w:lineRule="auto"/>
              <w:contextualSpacing/>
              <w:jc w:val="left"/>
              <w:rPr>
                <w:rFonts w:ascii="Times" w:eastAsia="Batang" w:hAnsi="Times"/>
                <w:strike/>
                <w:sz w:val="20"/>
                <w:szCs w:val="24"/>
                <w:lang w:eastAsia="en-US"/>
              </w:rPr>
            </w:pPr>
            <w:r w:rsidRPr="00DC7C29">
              <w:rPr>
                <w:rFonts w:ascii="Times" w:eastAsia="Batang" w:hAnsi="Times"/>
                <w:strike/>
                <w:sz w:val="20"/>
                <w:szCs w:val="24"/>
                <w:lang w:eastAsia="en-US"/>
              </w:rPr>
              <w:t xml:space="preserve">FFS: additional constraints on s1 and s2 e.g., </w:t>
            </w:r>
            <w:r w:rsidRPr="00DC7C29">
              <w:rPr>
                <w:rFonts w:ascii="Times" w:eastAsia="Batang" w:hAnsi="Times"/>
                <w:strike/>
                <w:sz w:val="20"/>
                <w:szCs w:val="24"/>
                <w:lang w:val="en-US" w:eastAsia="zh-CN"/>
              </w:rPr>
              <w:t>1 ≤ s1+s2 ≤ 2</w:t>
            </w:r>
            <w:r w:rsidRPr="00DC7C29">
              <w:rPr>
                <w:rFonts w:ascii="Times" w:eastAsia="Batang" w:hAnsi="Times"/>
                <w:strike/>
                <w:sz w:val="20"/>
                <w:szCs w:val="24"/>
                <w:lang w:eastAsia="en-US"/>
              </w:rPr>
              <w:t xml:space="preserve"> or </w:t>
            </w:r>
            <w:r w:rsidRPr="00DC7C29">
              <w:rPr>
                <w:rFonts w:ascii="Times" w:eastAsia="Batang" w:hAnsi="Times"/>
                <w:bCs/>
                <w:strike/>
                <w:sz w:val="20"/>
                <w:szCs w:val="24"/>
                <w:lang w:eastAsia="zh-CN"/>
              </w:rPr>
              <w:t xml:space="preserve">s1 + s2 </w:t>
            </w:r>
            <m:oMath>
              <m:r>
                <m:rPr>
                  <m:sty m:val="p"/>
                </m:rPr>
                <w:rPr>
                  <w:rFonts w:ascii="Cambria Math" w:hAnsi="Cambria Math"/>
                  <w:strike/>
                  <w:lang w:eastAsia="zh-CN"/>
                </w:rPr>
                <m:t>≤</m:t>
              </m:r>
            </m:oMath>
            <w:r w:rsidRPr="00DC7C29">
              <w:rPr>
                <w:rFonts w:ascii="Times" w:eastAsia="Batang" w:hAnsi="Times"/>
                <w:bCs/>
                <w:strike/>
                <w:sz w:val="20"/>
                <w:szCs w:val="24"/>
                <w:lang w:eastAsia="zh-CN"/>
              </w:rPr>
              <w:t xml:space="preserve"> 1</w:t>
            </w:r>
          </w:p>
          <w:p w14:paraId="05DE0568" w14:textId="731CD342" w:rsidR="00DC7C29" w:rsidRPr="00DC7C29" w:rsidRDefault="00DC7C29" w:rsidP="00081588">
            <w:pPr>
              <w:numPr>
                <w:ilvl w:val="3"/>
                <w:numId w:val="8"/>
              </w:numPr>
              <w:spacing w:after="160" w:line="259" w:lineRule="auto"/>
              <w:contextualSpacing/>
              <w:jc w:val="left"/>
              <w:rPr>
                <w:rFonts w:ascii="Times" w:eastAsia="Batang" w:hAnsi="Times"/>
                <w:strike/>
                <w:sz w:val="20"/>
                <w:szCs w:val="24"/>
                <w:lang w:eastAsia="en-US"/>
              </w:rPr>
            </w:pPr>
            <w:r w:rsidRPr="00DC7C29">
              <w:rPr>
                <w:rFonts w:ascii="Times" w:eastAsia="Batang" w:hAnsi="Times"/>
                <w:strike/>
                <w:sz w:val="20"/>
                <w:szCs w:val="24"/>
                <w:lang w:eastAsia="en-US"/>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DC7C29">
              <w:rPr>
                <w:rFonts w:ascii="Times" w:eastAsia="Batang" w:hAnsi="Times"/>
                <w:strike/>
                <w:sz w:val="20"/>
                <w:szCs w:val="24"/>
                <w:lang w:eastAsia="en-US"/>
              </w:rPr>
              <w:t xml:space="preserve"> is as in Rel16 </w:t>
            </w:r>
          </w:p>
          <w:p w14:paraId="31821D41" w14:textId="77777777" w:rsidR="00DC7C29" w:rsidRPr="00DC7C29" w:rsidRDefault="00DC7C29" w:rsidP="00081588">
            <w:pPr>
              <w:numPr>
                <w:ilvl w:val="2"/>
                <w:numId w:val="8"/>
              </w:numPr>
              <w:spacing w:after="160" w:line="259" w:lineRule="auto"/>
              <w:contextualSpacing/>
              <w:jc w:val="left"/>
              <w:rPr>
                <w:rFonts w:ascii="Times" w:eastAsia="Batang" w:hAnsi="Times"/>
                <w:sz w:val="20"/>
                <w:szCs w:val="24"/>
                <w:lang w:eastAsia="en-US"/>
              </w:rPr>
            </w:pPr>
            <w:r w:rsidRPr="00DC7C29">
              <w:rPr>
                <w:rFonts w:ascii="Times" w:eastAsia="Batang" w:hAnsi="Times"/>
                <w:sz w:val="20"/>
                <w:szCs w:val="24"/>
                <w:lang w:eastAsia="en-US"/>
              </w:rPr>
              <w:t>UE capability/incapability indication for below to be discussed as part of UE features discussion</w:t>
            </w:r>
          </w:p>
          <w:p w14:paraId="67A92279" w14:textId="77777777" w:rsidR="00DC7C29" w:rsidRPr="00DC7C29" w:rsidRDefault="00DC7C29" w:rsidP="00081588">
            <w:pPr>
              <w:numPr>
                <w:ilvl w:val="3"/>
                <w:numId w:val="8"/>
              </w:numPr>
              <w:spacing w:after="160" w:line="259" w:lineRule="auto"/>
              <w:contextualSpacing/>
              <w:jc w:val="left"/>
              <w:rPr>
                <w:rFonts w:ascii="Times" w:eastAsia="Batang" w:hAnsi="Times"/>
                <w:sz w:val="20"/>
                <w:szCs w:val="24"/>
                <w:lang w:eastAsia="en-US"/>
              </w:rPr>
            </w:pPr>
            <w:r w:rsidRPr="00DC7C29">
              <w:rPr>
                <w:rFonts w:ascii="Times" w:eastAsia="Batang" w:hAnsi="Times"/>
                <w:sz w:val="20"/>
                <w:szCs w:val="24"/>
                <w:lang w:eastAsia="en-US"/>
              </w:rPr>
              <w:t xml:space="preserve">All search space configurations monitored on sSCell for cross-carrier scheduling to P(S)Cell are within a single span of </w:t>
            </w:r>
            <w:r w:rsidRPr="00DC7C29">
              <w:rPr>
                <w:rFonts w:ascii="Times" w:eastAsia="Batang" w:hAnsi="Times"/>
                <w:color w:val="C45911"/>
                <w:sz w:val="20"/>
                <w:szCs w:val="24"/>
                <w:lang w:eastAsia="en-US"/>
              </w:rPr>
              <w:t>[3]</w:t>
            </w:r>
            <w:r w:rsidRPr="00DC7C29">
              <w:rPr>
                <w:rFonts w:ascii="Times" w:eastAsia="Batang" w:hAnsi="Times"/>
                <w:sz w:val="20"/>
                <w:szCs w:val="24"/>
                <w:lang w:eastAsia="en-US"/>
              </w:rPr>
              <w:t xml:space="preserve"> consecutive OFDM symbols within a duration spanning P(S)Cell slot</w:t>
            </w:r>
          </w:p>
          <w:p w14:paraId="5E9C7052" w14:textId="77777777" w:rsidR="00DC7C29" w:rsidRPr="00DC7C29" w:rsidRDefault="00DC7C29" w:rsidP="00081588">
            <w:pPr>
              <w:numPr>
                <w:ilvl w:val="2"/>
                <w:numId w:val="8"/>
              </w:numPr>
              <w:spacing w:after="160" w:line="259" w:lineRule="auto"/>
              <w:contextualSpacing/>
              <w:jc w:val="left"/>
              <w:rPr>
                <w:rFonts w:ascii="Times" w:eastAsia="Batang" w:hAnsi="Times"/>
                <w:sz w:val="20"/>
                <w:szCs w:val="24"/>
                <w:lang w:eastAsia="en-US"/>
              </w:rPr>
            </w:pPr>
            <w:r w:rsidRPr="00DC7C29">
              <w:rPr>
                <w:rFonts w:ascii="Times" w:eastAsia="Batang" w:hAnsi="Times"/>
                <w:sz w:val="20"/>
                <w:szCs w:val="24"/>
                <w:lang w:eastAsia="en-US"/>
              </w:rPr>
              <w:t>Same approach as above is used for CCE limits</w:t>
            </w:r>
          </w:p>
          <w:p w14:paraId="328DD700" w14:textId="4ACBB132" w:rsidR="00DC7C29" w:rsidRPr="00DC7C29" w:rsidRDefault="00DC7C29" w:rsidP="00081588">
            <w:pPr>
              <w:numPr>
                <w:ilvl w:val="3"/>
                <w:numId w:val="8"/>
              </w:numPr>
              <w:spacing w:after="160" w:line="259" w:lineRule="auto"/>
              <w:contextualSpacing/>
              <w:jc w:val="left"/>
              <w:rPr>
                <w:rFonts w:ascii="Times" w:eastAsia="Batang" w:hAnsi="Times"/>
                <w:sz w:val="20"/>
                <w:szCs w:val="24"/>
                <w:lang w:eastAsia="en-US"/>
              </w:rPr>
            </w:pPr>
            <w:r w:rsidRPr="00DC7C29">
              <w:rPr>
                <w:rFonts w:ascii="Times" w:eastAsia="Batang" w:hAnsi="Times"/>
                <w:sz w:val="20"/>
                <w:szCs w:val="24"/>
                <w:lang w:eastAsia="en-US"/>
              </w:rPr>
              <w:t xml:space="preserve">FFS: Separate vs. same RRC configured scaling factors (corresponding to </w:t>
            </w:r>
            <m:oMath>
              <m:r>
                <m:rPr>
                  <m:sty m:val="p"/>
                </m:rPr>
                <w:rPr>
                  <w:rFonts w:ascii="Cambria Math" w:hAnsi="Cambria Math"/>
                </w:rPr>
                <m:t>α</m:t>
              </m:r>
            </m:oMath>
            <w:r w:rsidRPr="00DC7C29">
              <w:rPr>
                <w:rFonts w:ascii="Times" w:eastAsia="Batang" w:hAnsi="Times"/>
                <w:sz w:val="20"/>
                <w:szCs w:val="24"/>
                <w:lang w:eastAsia="en-US"/>
              </w:rPr>
              <w:t>) for BD and CCE limits.</w:t>
            </w:r>
          </w:p>
          <w:p w14:paraId="067DF358" w14:textId="40E776CD" w:rsidR="00DC7C29" w:rsidRPr="00DC7C29" w:rsidRDefault="00DC7C29" w:rsidP="00081588">
            <w:pPr>
              <w:numPr>
                <w:ilvl w:val="0"/>
                <w:numId w:val="9"/>
              </w:numPr>
              <w:spacing w:after="160" w:line="259" w:lineRule="auto"/>
              <w:contextualSpacing/>
              <w:jc w:val="left"/>
              <w:rPr>
                <w:rFonts w:ascii="Times" w:eastAsia="DengXian" w:hAnsi="Times"/>
                <w:sz w:val="20"/>
                <w:szCs w:val="24"/>
                <w:lang w:eastAsia="zh-CN"/>
              </w:rPr>
            </w:pPr>
            <w:r w:rsidRPr="00DC7C29">
              <w:rPr>
                <w:rFonts w:ascii="Times" w:eastAsia="Batang" w:hAnsi="Times"/>
                <w:sz w:val="20"/>
                <w:szCs w:val="24"/>
                <w:lang w:eastAsia="zh-CN"/>
              </w:rPr>
              <w:t>When P(S)Cell SCS (</w:t>
            </w:r>
            <m:oMath>
              <m:r>
                <m:rPr>
                  <m:sty m:val="p"/>
                </m:rPr>
                <w:rPr>
                  <w:rFonts w:ascii="Cambria Math" w:hAnsi="Cambria Math"/>
                </w:rPr>
                <m:t>μ</m:t>
              </m:r>
            </m:oMath>
            <w:r w:rsidRPr="00DC7C29">
              <w:rPr>
                <w:rFonts w:ascii="Times" w:eastAsia="Batang" w:hAnsi="Times"/>
                <w:sz w:val="20"/>
                <w:szCs w:val="24"/>
                <w:lang w:eastAsia="zh-CN"/>
              </w:rPr>
              <w:t>) is larger than sSCell SCS (</w:t>
            </w:r>
            <m:oMath>
              <m:r>
                <m:rPr>
                  <m:sty m:val="p"/>
                </m:rPr>
                <w:rPr>
                  <w:rFonts w:ascii="Cambria Math" w:hAnsi="Cambria Math"/>
                </w:rPr>
                <m:t>μ1</m:t>
              </m:r>
            </m:oMath>
            <w:r w:rsidRPr="00DC7C29">
              <w:rPr>
                <w:rFonts w:ascii="Times" w:eastAsia="Batang" w:hAnsi="Times"/>
                <w:sz w:val="20"/>
                <w:szCs w:val="24"/>
                <w:lang w:eastAsia="zh-CN"/>
              </w:rPr>
              <w:t xml:space="preserve">), </w:t>
            </w:r>
            <w:r w:rsidRPr="00DC7C29">
              <w:rPr>
                <w:rFonts w:ascii="Times" w:eastAsia="Batang" w:hAnsi="Times"/>
                <w:sz w:val="20"/>
                <w:szCs w:val="24"/>
                <w:lang w:eastAsia="en-US"/>
              </w:rPr>
              <w:t xml:space="preserve">for CCS from sSCell to P(S)Cell and, </w:t>
            </w:r>
            <w:r w:rsidRPr="00DC7C29">
              <w:rPr>
                <w:rFonts w:ascii="Times" w:eastAsia="Batang" w:hAnsi="Times"/>
                <w:sz w:val="20"/>
                <w:szCs w:val="24"/>
                <w:lang w:eastAsia="zh-CN"/>
              </w:rPr>
              <w:t>it is not supported Rel-17 DSS.</w:t>
            </w:r>
          </w:p>
          <w:p w14:paraId="28ED305E" w14:textId="77777777" w:rsidR="00DC7C29" w:rsidRPr="00DC7C29" w:rsidRDefault="00DC7C29" w:rsidP="00DC7C29">
            <w:pPr>
              <w:spacing w:after="160" w:line="259" w:lineRule="auto"/>
              <w:contextualSpacing/>
              <w:rPr>
                <w:rFonts w:ascii="Times" w:eastAsia="Batang" w:hAnsi="Times"/>
                <w:strike/>
                <w:sz w:val="20"/>
                <w:szCs w:val="24"/>
                <w:lang w:eastAsia="en-US"/>
              </w:rPr>
            </w:pPr>
          </w:p>
          <w:p w14:paraId="2E653EDF" w14:textId="77777777" w:rsidR="00DC7C29" w:rsidRPr="00DC7C29" w:rsidRDefault="00DC7C29" w:rsidP="00DC7C29">
            <w:pPr>
              <w:shd w:val="clear" w:color="auto" w:fill="FFFFFF"/>
              <w:spacing w:line="360" w:lineRule="atLeast"/>
              <w:jc w:val="left"/>
              <w:rPr>
                <w:rFonts w:ascii="Calibri" w:eastAsia="SimSun" w:hAnsi="Calibri" w:cs="Calibri"/>
                <w:color w:val="000000"/>
                <w:sz w:val="22"/>
                <w:szCs w:val="22"/>
                <w:lang w:val="en-US" w:eastAsia="zh-CN"/>
              </w:rPr>
            </w:pPr>
            <w:r w:rsidRPr="00DC7C29">
              <w:rPr>
                <w:rFonts w:ascii="Arial" w:eastAsia="SimSun" w:hAnsi="Arial" w:cs="Arial"/>
                <w:b/>
                <w:bCs/>
                <w:color w:val="000000"/>
                <w:sz w:val="20"/>
                <w:u w:val="single"/>
                <w:shd w:val="clear" w:color="auto" w:fill="FFFFFF"/>
                <w:lang w:val="en-US" w:eastAsia="zh-CN"/>
              </w:rPr>
              <w:lastRenderedPageBreak/>
              <w:t>Conclusion</w:t>
            </w:r>
          </w:p>
          <w:p w14:paraId="7D29B7BE" w14:textId="77777777" w:rsidR="00DC7C29" w:rsidRPr="00DC7C29" w:rsidRDefault="00DC7C29" w:rsidP="00081588">
            <w:pPr>
              <w:numPr>
                <w:ilvl w:val="0"/>
                <w:numId w:val="10"/>
              </w:numPr>
              <w:shd w:val="clear" w:color="auto" w:fill="FFFFFF"/>
              <w:spacing w:line="360" w:lineRule="atLeast"/>
              <w:jc w:val="left"/>
              <w:rPr>
                <w:rFonts w:ascii="Calibri" w:eastAsia="Microsoft YaHei UI" w:hAnsi="Calibri" w:cs="Calibri"/>
                <w:color w:val="000000"/>
                <w:sz w:val="22"/>
                <w:szCs w:val="22"/>
                <w:lang w:val="en-US" w:eastAsia="zh-CN"/>
              </w:rPr>
            </w:pPr>
            <w:r w:rsidRPr="00DC7C29">
              <w:rPr>
                <w:rFonts w:eastAsia="Microsoft YaHei UI"/>
                <w:color w:val="000000"/>
                <w:sz w:val="20"/>
                <w:lang w:val="en-US" w:eastAsia="zh-CN"/>
              </w:rPr>
              <w:t>When sSCell to PCell cross-carrier scheduling is configured, DCI format 2_6 (if configured) is monitored only on P(S)Cell</w:t>
            </w:r>
          </w:p>
          <w:p w14:paraId="447ADFD8" w14:textId="77777777" w:rsidR="00DC7C29" w:rsidRPr="00DC7C29" w:rsidRDefault="00DC7C29" w:rsidP="00DC7C29">
            <w:pPr>
              <w:shd w:val="clear" w:color="auto" w:fill="FFFFFF"/>
              <w:jc w:val="left"/>
              <w:rPr>
                <w:rFonts w:ascii="Calibri" w:eastAsia="SimSun" w:hAnsi="Calibri" w:cs="Calibri"/>
                <w:color w:val="000000"/>
                <w:sz w:val="22"/>
                <w:szCs w:val="22"/>
                <w:lang w:val="en-US" w:eastAsia="zh-CN"/>
              </w:rPr>
            </w:pPr>
            <w:r w:rsidRPr="00DC7C29">
              <w:rPr>
                <w:rFonts w:ascii="Calibri" w:eastAsia="SimSun" w:hAnsi="Calibri" w:cs="Calibri"/>
                <w:color w:val="000000"/>
                <w:sz w:val="22"/>
                <w:szCs w:val="22"/>
                <w:lang w:val="en-US" w:eastAsia="zh-CN"/>
              </w:rPr>
              <w:t> </w:t>
            </w:r>
          </w:p>
          <w:p w14:paraId="38EA49FF" w14:textId="77777777" w:rsidR="00DC7C29" w:rsidRPr="00DC7C29" w:rsidRDefault="00DC7C29" w:rsidP="00DC7C29">
            <w:pPr>
              <w:shd w:val="clear" w:color="auto" w:fill="FFFFFF"/>
              <w:spacing w:line="360" w:lineRule="atLeast"/>
              <w:jc w:val="left"/>
              <w:rPr>
                <w:rFonts w:ascii="Microsoft YaHei UI" w:eastAsia="Microsoft YaHei UI" w:hAnsi="Microsoft YaHei UI" w:cs="SimSun"/>
                <w:color w:val="000000"/>
                <w:sz w:val="21"/>
                <w:szCs w:val="21"/>
                <w:lang w:val="en-US" w:eastAsia="zh-CN"/>
              </w:rPr>
            </w:pPr>
            <w:r w:rsidRPr="00DC7C29">
              <w:rPr>
                <w:rFonts w:ascii="Arial" w:eastAsia="Microsoft YaHei UI" w:hAnsi="Arial" w:cs="Arial" w:hint="eastAsia"/>
                <w:b/>
                <w:bCs/>
                <w:color w:val="000000"/>
                <w:sz w:val="20"/>
                <w:u w:val="single"/>
                <w:shd w:val="clear" w:color="auto" w:fill="808000"/>
                <w:lang w:val="en-US" w:eastAsia="zh-CN"/>
              </w:rPr>
              <w:t>Working Assumption</w:t>
            </w:r>
          </w:p>
          <w:p w14:paraId="0F257E07" w14:textId="77777777" w:rsidR="00DC7C29" w:rsidRPr="00DC7C29" w:rsidRDefault="00DC7C29" w:rsidP="00081588">
            <w:pPr>
              <w:numPr>
                <w:ilvl w:val="0"/>
                <w:numId w:val="11"/>
              </w:numPr>
              <w:shd w:val="clear" w:color="auto" w:fill="FFFFFF"/>
              <w:spacing w:line="360" w:lineRule="atLeast"/>
              <w:jc w:val="left"/>
              <w:rPr>
                <w:rFonts w:ascii="Calibri" w:eastAsia="Microsoft YaHei UI" w:hAnsi="Calibri" w:cs="Calibri"/>
                <w:color w:val="000000"/>
                <w:sz w:val="22"/>
                <w:szCs w:val="22"/>
                <w:lang w:val="en-US" w:eastAsia="zh-CN"/>
              </w:rPr>
            </w:pPr>
            <w:r w:rsidRPr="00DC7C29">
              <w:rPr>
                <w:rFonts w:eastAsia="Microsoft YaHei UI"/>
                <w:color w:val="000000"/>
                <w:sz w:val="20"/>
                <w:lang w:val="en-US" w:eastAsia="zh-CN"/>
              </w:rPr>
              <w:t>When CIF for sSCell to PCell cross-carrier scheduling is configured, non-fallback DCI formats on P(S)Cell include same number of CIF bits as the corresponding non-fallback DCI formats on sSCell that are used for sSCell to P(S)Cell scheduling</w:t>
            </w:r>
          </w:p>
          <w:p w14:paraId="2C608379" w14:textId="77777777" w:rsidR="00DC7C29" w:rsidRPr="00DC7C29" w:rsidRDefault="00DC7C29" w:rsidP="00DC7C29">
            <w:pPr>
              <w:shd w:val="clear" w:color="auto" w:fill="FFFFFF"/>
              <w:jc w:val="left"/>
              <w:rPr>
                <w:rFonts w:ascii="Calibri" w:eastAsia="SimSun" w:hAnsi="Calibri" w:cs="Calibri"/>
                <w:color w:val="000000"/>
                <w:sz w:val="22"/>
                <w:szCs w:val="22"/>
                <w:lang w:val="en-US" w:eastAsia="zh-CN"/>
              </w:rPr>
            </w:pPr>
            <w:r w:rsidRPr="00DC7C29">
              <w:rPr>
                <w:rFonts w:ascii="Calibri" w:eastAsia="SimSun" w:hAnsi="Calibri" w:cs="Calibri"/>
                <w:color w:val="000000"/>
                <w:sz w:val="22"/>
                <w:szCs w:val="22"/>
                <w:lang w:val="en-US" w:eastAsia="zh-CN"/>
              </w:rPr>
              <w:t> </w:t>
            </w:r>
          </w:p>
          <w:p w14:paraId="0DA083E4" w14:textId="77777777" w:rsidR="00DC7C29" w:rsidRPr="00DC7C29" w:rsidRDefault="00DC7C29" w:rsidP="00DC7C29">
            <w:pPr>
              <w:shd w:val="clear" w:color="auto" w:fill="FFFFFF"/>
              <w:spacing w:line="360" w:lineRule="atLeast"/>
              <w:jc w:val="left"/>
              <w:rPr>
                <w:rFonts w:ascii="Microsoft YaHei UI" w:eastAsia="Microsoft YaHei UI" w:hAnsi="Microsoft YaHei UI" w:cs="SimSun"/>
                <w:color w:val="000000"/>
                <w:sz w:val="21"/>
                <w:szCs w:val="21"/>
                <w:lang w:val="en-US" w:eastAsia="zh-CN"/>
              </w:rPr>
            </w:pPr>
            <w:r w:rsidRPr="00DC7C29">
              <w:rPr>
                <w:rFonts w:ascii="Arial" w:eastAsia="Microsoft YaHei UI" w:hAnsi="Arial" w:cs="Arial"/>
                <w:b/>
                <w:bCs/>
                <w:color w:val="000000"/>
                <w:sz w:val="20"/>
                <w:u w:val="single"/>
                <w:lang w:val="en-US" w:eastAsia="zh-CN"/>
              </w:rPr>
              <w:t>Conclusion</w:t>
            </w:r>
          </w:p>
          <w:p w14:paraId="61F06784" w14:textId="77777777" w:rsidR="00DC7C29" w:rsidRPr="00DC7C29" w:rsidRDefault="00DC7C29" w:rsidP="00081588">
            <w:pPr>
              <w:numPr>
                <w:ilvl w:val="0"/>
                <w:numId w:val="12"/>
              </w:numPr>
              <w:shd w:val="clear" w:color="auto" w:fill="FFFFFF"/>
              <w:spacing w:line="360" w:lineRule="atLeast"/>
              <w:jc w:val="left"/>
              <w:rPr>
                <w:rFonts w:ascii="Calibri" w:eastAsia="Microsoft YaHei UI" w:hAnsi="Calibri" w:cs="Calibri"/>
                <w:color w:val="4472C4"/>
                <w:sz w:val="22"/>
                <w:szCs w:val="22"/>
                <w:lang w:val="en-US" w:eastAsia="zh-CN"/>
              </w:rPr>
            </w:pPr>
            <w:r w:rsidRPr="00DC7C29">
              <w:rPr>
                <w:rFonts w:eastAsia="Microsoft YaHei UI"/>
                <w:sz w:val="20"/>
                <w:lang w:eastAsia="zh-CN"/>
              </w:rPr>
              <w:t>A UE configured for cross-carrier scheduling from SCell to P(S)Cell can also be configured with unaligned CA (i.e., using  </w:t>
            </w:r>
            <w:r w:rsidRPr="00DC7C29">
              <w:rPr>
                <w:rFonts w:eastAsia="Microsoft YaHei UI"/>
                <w:i/>
                <w:iCs/>
                <w:sz w:val="20"/>
                <w:lang w:eastAsia="zh-CN"/>
              </w:rPr>
              <w:t>ca-SlotOffset </w:t>
            </w:r>
            <w:r w:rsidRPr="00DC7C29">
              <w:rPr>
                <w:rFonts w:eastAsia="Microsoft YaHei UI"/>
                <w:sz w:val="20"/>
                <w:lang w:eastAsia="zh-CN"/>
              </w:rPr>
              <w:t>), </w:t>
            </w:r>
            <w:r w:rsidRPr="00DC7C29">
              <w:rPr>
                <w:rFonts w:eastAsia="Microsoft YaHei UI"/>
                <w:color w:val="4472C4"/>
                <w:sz w:val="20"/>
                <w:lang w:eastAsia="zh-CN"/>
              </w:rPr>
              <w:t>and a non-zero value for </w:t>
            </w:r>
            <w:r w:rsidRPr="00DC7C29">
              <w:rPr>
                <w:rFonts w:eastAsia="Microsoft YaHei UI"/>
                <w:i/>
                <w:iCs/>
                <w:color w:val="4472C4"/>
                <w:sz w:val="20"/>
                <w:lang w:eastAsia="zh-CN"/>
              </w:rPr>
              <w:t>ca-SlotOffset </w:t>
            </w:r>
            <w:r w:rsidRPr="00DC7C29">
              <w:rPr>
                <w:rFonts w:eastAsia="Microsoft YaHei UI"/>
                <w:color w:val="4472C4"/>
                <w:sz w:val="20"/>
                <w:lang w:eastAsia="zh-CN"/>
              </w:rPr>
              <w:t>can be configured at least for SCells other than the sSCell</w:t>
            </w:r>
          </w:p>
          <w:p w14:paraId="5EC01ACD" w14:textId="77777777" w:rsidR="00DC7C29" w:rsidRPr="00DC7C29" w:rsidRDefault="00DC7C29" w:rsidP="00081588">
            <w:pPr>
              <w:numPr>
                <w:ilvl w:val="1"/>
                <w:numId w:val="12"/>
              </w:numPr>
              <w:shd w:val="clear" w:color="auto" w:fill="FFFFFF"/>
              <w:spacing w:line="360" w:lineRule="atLeast"/>
              <w:jc w:val="left"/>
              <w:rPr>
                <w:rFonts w:ascii="Calibri" w:eastAsia="Microsoft YaHei UI" w:hAnsi="Calibri" w:cs="Calibri"/>
                <w:color w:val="4472C4"/>
                <w:sz w:val="22"/>
                <w:szCs w:val="22"/>
                <w:lang w:val="en-US" w:eastAsia="zh-CN"/>
              </w:rPr>
            </w:pPr>
            <w:r w:rsidRPr="00DC7C29">
              <w:rPr>
                <w:rFonts w:eastAsia="Microsoft YaHei UI"/>
                <w:color w:val="4472C4"/>
                <w:sz w:val="20"/>
                <w:lang w:val="en-US" w:eastAsia="zh-CN"/>
              </w:rPr>
              <w:t>FFS: Whether case when sSCell is configured with non-zero </w:t>
            </w:r>
            <w:r w:rsidRPr="00DC7C29">
              <w:rPr>
                <w:rFonts w:eastAsia="Microsoft YaHei UI"/>
                <w:i/>
                <w:iCs/>
                <w:color w:val="4472C4"/>
                <w:sz w:val="20"/>
                <w:lang w:eastAsia="zh-CN"/>
              </w:rPr>
              <w:t>ca-SlotOffset </w:t>
            </w:r>
            <w:r w:rsidRPr="00DC7C29">
              <w:rPr>
                <w:rFonts w:eastAsia="Microsoft YaHei UI"/>
                <w:color w:val="4472C4"/>
                <w:sz w:val="20"/>
                <w:lang w:eastAsia="zh-CN"/>
              </w:rPr>
              <w:t>is supported and any associated capability signalling</w:t>
            </w:r>
          </w:p>
          <w:p w14:paraId="0AD1213D" w14:textId="77777777" w:rsidR="00DC7C29" w:rsidRPr="00DC7C29" w:rsidRDefault="00DC7C29" w:rsidP="00081588">
            <w:pPr>
              <w:numPr>
                <w:ilvl w:val="0"/>
                <w:numId w:val="12"/>
              </w:numPr>
              <w:shd w:val="clear" w:color="auto" w:fill="FFFFFF"/>
              <w:spacing w:line="360" w:lineRule="atLeast"/>
              <w:jc w:val="left"/>
              <w:rPr>
                <w:rFonts w:ascii="Calibri" w:eastAsia="Microsoft YaHei UI" w:hAnsi="Calibri" w:cs="Calibri"/>
                <w:color w:val="C45911"/>
                <w:sz w:val="22"/>
                <w:szCs w:val="22"/>
                <w:lang w:val="en-US" w:eastAsia="zh-CN"/>
              </w:rPr>
            </w:pPr>
            <w:r w:rsidRPr="00DC7C29">
              <w:rPr>
                <w:rFonts w:eastAsia="Microsoft YaHei UI"/>
                <w:color w:val="C45911"/>
                <w:sz w:val="20"/>
                <w:lang w:val="en-US" w:eastAsia="zh-CN"/>
              </w:rPr>
              <w:t>Note: No additional L1 spec impact related to </w:t>
            </w:r>
            <w:r w:rsidRPr="00DC7C29">
              <w:rPr>
                <w:rFonts w:eastAsia="Microsoft YaHei UI"/>
                <w:i/>
                <w:iCs/>
                <w:color w:val="C45911"/>
                <w:sz w:val="20"/>
                <w:lang w:val="en-US" w:eastAsia="zh-CN"/>
              </w:rPr>
              <w:t>ca-SlotOffset</w:t>
            </w:r>
            <w:r w:rsidRPr="00DC7C29">
              <w:rPr>
                <w:rFonts w:eastAsia="Microsoft YaHei UI"/>
                <w:color w:val="C45911"/>
                <w:sz w:val="20"/>
                <w:lang w:val="en-US" w:eastAsia="zh-CN"/>
              </w:rPr>
              <w:t> had been identified</w:t>
            </w:r>
          </w:p>
          <w:p w14:paraId="13F4D0D1" w14:textId="77777777" w:rsidR="00DC7C29" w:rsidRPr="00DC7C29" w:rsidRDefault="00DC7C29" w:rsidP="00DC7C29">
            <w:pPr>
              <w:shd w:val="clear" w:color="auto" w:fill="FFFFFF"/>
              <w:jc w:val="left"/>
              <w:rPr>
                <w:rFonts w:ascii="Calibri" w:eastAsia="SimSun" w:hAnsi="Calibri" w:cs="Calibri"/>
                <w:color w:val="000000"/>
                <w:sz w:val="22"/>
                <w:szCs w:val="22"/>
                <w:lang w:val="en-US" w:eastAsia="zh-CN"/>
              </w:rPr>
            </w:pPr>
            <w:r w:rsidRPr="00DC7C29">
              <w:rPr>
                <w:rFonts w:ascii="Calibri" w:eastAsia="SimSun" w:hAnsi="Calibri" w:cs="Calibri"/>
                <w:color w:val="000000"/>
                <w:sz w:val="22"/>
                <w:szCs w:val="22"/>
                <w:lang w:val="en-US" w:eastAsia="zh-CN"/>
              </w:rPr>
              <w:t> </w:t>
            </w:r>
          </w:p>
          <w:p w14:paraId="31FBA97C" w14:textId="77777777" w:rsidR="00DC7C29" w:rsidRPr="00DC7C29" w:rsidRDefault="00DC7C29" w:rsidP="00DC7C29">
            <w:pPr>
              <w:shd w:val="clear" w:color="auto" w:fill="FFFFFF"/>
              <w:spacing w:line="360" w:lineRule="atLeast"/>
              <w:jc w:val="left"/>
              <w:rPr>
                <w:rFonts w:ascii="Calibri" w:eastAsia="SimSun" w:hAnsi="Calibri" w:cs="Calibri"/>
                <w:color w:val="000000"/>
                <w:sz w:val="22"/>
                <w:szCs w:val="22"/>
                <w:lang w:val="en-US" w:eastAsia="zh-CN"/>
              </w:rPr>
            </w:pPr>
            <w:r w:rsidRPr="00DC7C29">
              <w:rPr>
                <w:rFonts w:ascii="Arial" w:eastAsia="SimSun" w:hAnsi="Arial" w:cs="Arial"/>
                <w:b/>
                <w:bCs/>
                <w:color w:val="000000"/>
                <w:sz w:val="20"/>
                <w:u w:val="single"/>
                <w:lang w:val="en-US" w:eastAsia="zh-CN"/>
              </w:rPr>
              <w:t>Conclusion</w:t>
            </w:r>
          </w:p>
          <w:p w14:paraId="1EA1BF6F" w14:textId="77777777" w:rsidR="00DC7C29" w:rsidRPr="00DC7C29" w:rsidRDefault="00DC7C29" w:rsidP="00081588">
            <w:pPr>
              <w:numPr>
                <w:ilvl w:val="0"/>
                <w:numId w:val="13"/>
              </w:numPr>
              <w:shd w:val="clear" w:color="auto" w:fill="FFFFFF"/>
              <w:spacing w:line="360" w:lineRule="atLeast"/>
              <w:jc w:val="left"/>
              <w:rPr>
                <w:rFonts w:ascii="Calibri" w:eastAsia="Microsoft YaHei UI" w:hAnsi="Calibri" w:cs="Calibri"/>
                <w:color w:val="000000"/>
                <w:sz w:val="22"/>
                <w:szCs w:val="22"/>
                <w:lang w:val="en-US" w:eastAsia="zh-CN"/>
              </w:rPr>
            </w:pPr>
            <w:r w:rsidRPr="00DC7C29">
              <w:rPr>
                <w:rFonts w:eastAsia="Microsoft YaHei UI"/>
                <w:color w:val="000000"/>
                <w:sz w:val="20"/>
                <w:lang w:eastAsia="zh-CN"/>
              </w:rPr>
              <w:t>When CCS from sSCell to P(S)Cell is configured for a UE</w:t>
            </w:r>
          </w:p>
          <w:p w14:paraId="48150543" w14:textId="3E39C071" w:rsidR="00C63962" w:rsidRPr="00C63962" w:rsidRDefault="00DC7C29" w:rsidP="00DC7C29">
            <w:pPr>
              <w:rPr>
                <w:rFonts w:ascii="Times" w:eastAsia="Times New Roman" w:hAnsi="Times"/>
                <w:color w:val="4472C4"/>
                <w:sz w:val="20"/>
                <w:szCs w:val="24"/>
                <w:lang w:val="en-US" w:eastAsia="en-US"/>
              </w:rPr>
            </w:pPr>
            <w:r w:rsidRPr="00DC7C29">
              <w:rPr>
                <w:rFonts w:eastAsia="Microsoft YaHei UI"/>
                <w:color w:val="000000"/>
                <w:sz w:val="20"/>
                <w:lang w:eastAsia="zh-CN"/>
              </w:rPr>
              <w:t>monitoringSlotPeriodicityAndOffset, monitoringSymbolsWithinSlot, duration for the PDCCH monitoring candidates monitored on sSCell as determined per Rel16 SS linking approach</w:t>
            </w:r>
          </w:p>
        </w:tc>
      </w:tr>
    </w:tbl>
    <w:p w14:paraId="4A5245AB" w14:textId="50A2A3E4" w:rsidR="00F9607B" w:rsidRPr="00C63962" w:rsidRDefault="00F9607B" w:rsidP="00F9607B">
      <w:pPr>
        <w:spacing w:afterLines="50" w:after="120"/>
        <w:rPr>
          <w:sz w:val="22"/>
          <w:szCs w:val="22"/>
        </w:rPr>
      </w:pPr>
    </w:p>
    <w:p w14:paraId="1EAC7F25" w14:textId="2FFDC30E" w:rsidR="00F9607B" w:rsidRPr="00F8283C" w:rsidRDefault="00F9607B" w:rsidP="00F9607B">
      <w:pPr>
        <w:spacing w:afterLines="50" w:after="120"/>
        <w:rPr>
          <w:sz w:val="22"/>
          <w:szCs w:val="22"/>
          <w:lang w:val="en-US"/>
        </w:rPr>
      </w:pPr>
      <w:r>
        <w:rPr>
          <w:rFonts w:hint="eastAsia"/>
          <w:sz w:val="22"/>
          <w:szCs w:val="22"/>
          <w:lang w:val="en-US"/>
        </w:rPr>
        <w:t xml:space="preserve">Here, we discuss </w:t>
      </w:r>
      <w:r w:rsidR="00FA503B">
        <w:rPr>
          <w:sz w:val="22"/>
          <w:szCs w:val="22"/>
          <w:lang w:val="en-US"/>
        </w:rPr>
        <w:t xml:space="preserve">the remaining issues on </w:t>
      </w:r>
      <w:r w:rsidR="00FA503B">
        <w:rPr>
          <w:rFonts w:hint="eastAsia"/>
          <w:sz w:val="22"/>
          <w:szCs w:val="22"/>
          <w:lang w:val="en-US"/>
        </w:rPr>
        <w:t>c</w:t>
      </w:r>
      <w:r w:rsidR="00FA503B">
        <w:rPr>
          <w:sz w:val="22"/>
          <w:szCs w:val="22"/>
          <w:lang w:val="en-US"/>
        </w:rPr>
        <w:t>ross-carrier scheduling enhancements from sSCell to P(S)Cell</w:t>
      </w:r>
      <w:r>
        <w:rPr>
          <w:rFonts w:hint="eastAsia"/>
          <w:sz w:val="22"/>
          <w:szCs w:val="22"/>
          <w:lang w:val="en-US"/>
        </w:rPr>
        <w:t>.</w:t>
      </w:r>
    </w:p>
    <w:p w14:paraId="7852BA08" w14:textId="0B6C224D" w:rsidR="00E840F2" w:rsidRPr="00F8283C" w:rsidRDefault="00E840F2" w:rsidP="001F5DFE">
      <w:pPr>
        <w:spacing w:afterLines="50" w:after="120"/>
        <w:rPr>
          <w:sz w:val="22"/>
          <w:szCs w:val="22"/>
          <w:lang w:val="en-US"/>
        </w:rPr>
      </w:pPr>
    </w:p>
    <w:p w14:paraId="591CE03E" w14:textId="0D661321" w:rsidR="00CE60B6" w:rsidRDefault="000F7712" w:rsidP="00823487">
      <w:pPr>
        <w:pStyle w:val="1"/>
        <w:numPr>
          <w:ilvl w:val="0"/>
          <w:numId w:val="6"/>
        </w:numPr>
        <w:spacing w:before="180" w:after="120"/>
        <w:rPr>
          <w:rFonts w:eastAsia="ＭＳ 明朝"/>
          <w:b/>
          <w:bCs/>
          <w:szCs w:val="24"/>
          <w:lang w:val="en-US"/>
        </w:rPr>
      </w:pPr>
      <w:r>
        <w:rPr>
          <w:rFonts w:eastAsia="ＭＳ 明朝"/>
          <w:b/>
          <w:bCs/>
          <w:szCs w:val="24"/>
          <w:lang w:val="en-US"/>
        </w:rPr>
        <w:t>DCI size budget</w:t>
      </w:r>
    </w:p>
    <w:p w14:paraId="39D78428" w14:textId="59D671F2" w:rsidR="000F7712" w:rsidRDefault="000F7712" w:rsidP="000F7712">
      <w:pPr>
        <w:spacing w:afterLines="50" w:after="120"/>
        <w:rPr>
          <w:sz w:val="22"/>
          <w:szCs w:val="22"/>
          <w:lang w:val="en-US"/>
        </w:rPr>
      </w:pPr>
      <w:r>
        <w:rPr>
          <w:sz w:val="22"/>
          <w:szCs w:val="22"/>
          <w:lang w:val="en-US"/>
        </w:rPr>
        <w:t>At the previous meeting, RAN1 made the working assumption on CIF field for DCI size alignment</w:t>
      </w:r>
      <w:r>
        <w:rPr>
          <w:rFonts w:hint="eastAsia"/>
          <w:sz w:val="22"/>
          <w:szCs w:val="22"/>
          <w:lang w:val="en-US"/>
        </w:rPr>
        <w:t>.</w:t>
      </w:r>
      <w:r>
        <w:rPr>
          <w:sz w:val="22"/>
          <w:szCs w:val="22"/>
          <w:lang w:val="en-US"/>
        </w:rPr>
        <w:t xml:space="preserve"> The working assumption should be confirmed so that the DCI size can be aligned as much as possible. If the DCI sizes may be different in some cases, the existing specification for DCI size budget can cover such cases.</w:t>
      </w:r>
    </w:p>
    <w:p w14:paraId="1BF5C375" w14:textId="77777777" w:rsidR="000F7712" w:rsidRPr="0001222C" w:rsidRDefault="000F7712" w:rsidP="000F7712">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1:</w:t>
      </w:r>
    </w:p>
    <w:p w14:paraId="3E58250A" w14:textId="3C0ED15C" w:rsidR="000F7712" w:rsidRPr="000F7712" w:rsidRDefault="000F7712" w:rsidP="000F7712">
      <w:pPr>
        <w:pStyle w:val="afd"/>
        <w:widowControl w:val="0"/>
        <w:numPr>
          <w:ilvl w:val="0"/>
          <w:numId w:val="7"/>
        </w:numPr>
        <w:spacing w:after="50"/>
        <w:ind w:leftChars="0"/>
        <w:rPr>
          <w:rFonts w:eastAsiaTheme="minorEastAsia"/>
          <w:b/>
          <w:kern w:val="2"/>
          <w:sz w:val="22"/>
          <w:szCs w:val="22"/>
        </w:rPr>
      </w:pPr>
      <w:r>
        <w:rPr>
          <w:rFonts w:eastAsia="Malgun Gothic"/>
          <w:b/>
          <w:kern w:val="2"/>
          <w:sz w:val="22"/>
          <w:szCs w:val="22"/>
          <w:lang w:val="en-US"/>
        </w:rPr>
        <w:t>Confirm the following working assumption:</w:t>
      </w:r>
    </w:p>
    <w:p w14:paraId="1F8293DC" w14:textId="18AB0FC1" w:rsidR="000F7712" w:rsidRPr="000F7712" w:rsidRDefault="000F7712" w:rsidP="000F7712">
      <w:pPr>
        <w:pStyle w:val="afd"/>
        <w:numPr>
          <w:ilvl w:val="1"/>
          <w:numId w:val="7"/>
        </w:numPr>
        <w:ind w:leftChars="0"/>
        <w:rPr>
          <w:rFonts w:eastAsiaTheme="minorEastAsia"/>
          <w:b/>
          <w:kern w:val="2"/>
          <w:sz w:val="22"/>
          <w:szCs w:val="22"/>
        </w:rPr>
      </w:pPr>
      <w:r w:rsidRPr="000F7712">
        <w:rPr>
          <w:rFonts w:eastAsiaTheme="minorEastAsia"/>
          <w:b/>
          <w:kern w:val="2"/>
          <w:sz w:val="22"/>
          <w:szCs w:val="22"/>
        </w:rPr>
        <w:t>When CIF for sSCell to PCell cross-carrier scheduling is configured, non-fallback DCI formats on P(S)Cell include same number of CIF bits as the corresponding non-fallback DCI formats on sSCell that are used for sSCell to P(S)Cell scheduling</w:t>
      </w:r>
      <w:r>
        <w:rPr>
          <w:rFonts w:eastAsiaTheme="minorEastAsia"/>
          <w:b/>
          <w:kern w:val="2"/>
          <w:sz w:val="22"/>
          <w:szCs w:val="22"/>
        </w:rPr>
        <w:t>.</w:t>
      </w:r>
    </w:p>
    <w:p w14:paraId="177C3538" w14:textId="3F9E9664" w:rsidR="00200990" w:rsidRPr="00F8283C" w:rsidRDefault="00200990" w:rsidP="00200990">
      <w:pPr>
        <w:spacing w:afterLines="50" w:after="120"/>
        <w:rPr>
          <w:sz w:val="22"/>
          <w:szCs w:val="22"/>
          <w:lang w:val="en-US"/>
        </w:rPr>
      </w:pPr>
    </w:p>
    <w:p w14:paraId="141D6F0C" w14:textId="2B00E4AE" w:rsidR="000F7712" w:rsidRPr="00200990" w:rsidRDefault="00200990" w:rsidP="00200990">
      <w:pPr>
        <w:pStyle w:val="1"/>
        <w:numPr>
          <w:ilvl w:val="0"/>
          <w:numId w:val="6"/>
        </w:numPr>
        <w:spacing w:before="180" w:after="120"/>
        <w:rPr>
          <w:rFonts w:eastAsia="ＭＳ 明朝"/>
          <w:b/>
          <w:bCs/>
          <w:szCs w:val="24"/>
          <w:lang w:val="en-US"/>
        </w:rPr>
      </w:pPr>
      <w:r>
        <w:rPr>
          <w:rFonts w:eastAsia="ＭＳ 明朝"/>
          <w:b/>
          <w:bCs/>
          <w:szCs w:val="24"/>
          <w:lang w:val="en-US"/>
        </w:rPr>
        <w:t>PDCCH BD limit handling</w:t>
      </w:r>
    </w:p>
    <w:p w14:paraId="051ED60A" w14:textId="04F0C649" w:rsidR="00200990" w:rsidRDefault="00200990" w:rsidP="00CE60B6">
      <w:pPr>
        <w:spacing w:afterLines="50" w:after="120"/>
        <w:rPr>
          <w:sz w:val="22"/>
          <w:szCs w:val="22"/>
        </w:rPr>
      </w:pPr>
      <w:r w:rsidRPr="00200990">
        <w:rPr>
          <w:sz w:val="22"/>
          <w:szCs w:val="22"/>
        </w:rPr>
        <w:t xml:space="preserve">At the previous meeting, Option A for PDCCH BD limit handling was agreed. </w:t>
      </w:r>
      <w:r w:rsidRPr="00200990">
        <w:rPr>
          <w:rFonts w:hint="eastAsia"/>
          <w:sz w:val="22"/>
          <w:szCs w:val="22"/>
        </w:rPr>
        <w:t>T</w:t>
      </w:r>
      <w:r w:rsidRPr="00200990">
        <w:rPr>
          <w:sz w:val="22"/>
          <w:szCs w:val="22"/>
        </w:rPr>
        <w:t>he remaining issue on Option A is which of [</w:t>
      </w:r>
      <m:oMath>
        <m:func>
          <m:funcPr>
            <m:ctrlPr>
              <w:rPr>
                <w:rFonts w:ascii="Cambria Math" w:hAnsi="Cambria Math"/>
                <w:sz w:val="22"/>
                <w:szCs w:val="22"/>
              </w:rPr>
            </m:ctrlPr>
          </m:funcPr>
          <m:fName>
            <m:r>
              <m:rPr>
                <m:sty m:val="p"/>
              </m:rPr>
              <w:rPr>
                <w:rFonts w:ascii="Cambria Math" w:hAnsi="Cambria Math"/>
                <w:sz w:val="22"/>
                <w:szCs w:val="22"/>
              </w:rPr>
              <m:t>min</m:t>
            </m:r>
          </m:fName>
          <m:e>
            <m:d>
              <m:dPr>
                <m:ctrlPr>
                  <w:rPr>
                    <w:rFonts w:ascii="Cambria Math" w:hAnsi="Cambria Math"/>
                    <w:sz w:val="22"/>
                    <w:szCs w:val="22"/>
                  </w:rPr>
                </m:ctrlPr>
              </m:dPr>
              <m:e>
                <m:sSubSup>
                  <m:sSubSupPr>
                    <m:ctrlPr>
                      <w:rPr>
                        <w:rFonts w:ascii="Cambria Math" w:hAnsi="Cambria Math"/>
                        <w:sz w:val="22"/>
                        <w:szCs w:val="22"/>
                      </w:rPr>
                    </m:ctrlPr>
                  </m:sSubSupPr>
                  <m:e>
                    <m:r>
                      <m:rPr>
                        <m:sty m:val="p"/>
                      </m:rPr>
                      <w:rPr>
                        <w:rFonts w:ascii="Cambria Math" w:hAnsi="Cambria Math"/>
                        <w:sz w:val="22"/>
                        <w:szCs w:val="22"/>
                      </w:rPr>
                      <m:t>M</m:t>
                    </m:r>
                  </m:e>
                  <m:sub>
                    <m:r>
                      <m:rPr>
                        <m:nor/>
                      </m:rPr>
                      <w:rPr>
                        <w:sz w:val="22"/>
                        <w:szCs w:val="22"/>
                      </w:rPr>
                      <m:t>PDCCH</m:t>
                    </m:r>
                  </m:sub>
                  <m:sup>
                    <m:r>
                      <m:rPr>
                        <m:nor/>
                      </m:rPr>
                      <w:rPr>
                        <w:sz w:val="22"/>
                        <w:szCs w:val="22"/>
                      </w:rPr>
                      <m:t>max,slot,</m:t>
                    </m:r>
                    <m:r>
                      <m:rPr>
                        <m:sty m:val="p"/>
                      </m:rPr>
                      <w:rPr>
                        <w:rFonts w:ascii="Cambria Math" w:hAnsi="Cambria Math"/>
                        <w:sz w:val="22"/>
                        <w:szCs w:val="22"/>
                      </w:rPr>
                      <m:t>μ1</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M</m:t>
                    </m:r>
                  </m:e>
                  <m:sub>
                    <m:r>
                      <m:rPr>
                        <m:nor/>
                      </m:rPr>
                      <w:rPr>
                        <w:sz w:val="22"/>
                        <w:szCs w:val="22"/>
                      </w:rPr>
                      <m:t>PDCCH</m:t>
                    </m:r>
                  </m:sub>
                  <m:sup>
                    <m:r>
                      <m:rPr>
                        <m:nor/>
                      </m:rPr>
                      <w:rPr>
                        <w:sz w:val="22"/>
                        <w:szCs w:val="22"/>
                      </w:rPr>
                      <m:t>total,slot,</m:t>
                    </m:r>
                    <m:r>
                      <m:rPr>
                        <m:sty m:val="p"/>
                      </m:rPr>
                      <w:rPr>
                        <w:rFonts w:ascii="Cambria Math" w:hAnsi="Cambria Math"/>
                        <w:sz w:val="22"/>
                        <w:szCs w:val="22"/>
                      </w:rPr>
                      <m:t>μ1</m:t>
                    </m:r>
                  </m:sup>
                </m:sSubSup>
              </m:e>
            </m:d>
          </m:e>
        </m:func>
      </m:oMath>
      <w:r w:rsidRPr="00200990">
        <w:rPr>
          <w:rFonts w:hint="eastAsia"/>
          <w:sz w:val="22"/>
          <w:szCs w:val="22"/>
        </w:rPr>
        <w:t xml:space="preserve"> </w:t>
      </w:r>
      <w:r w:rsidRPr="00200990">
        <w:rPr>
          <w:sz w:val="22"/>
          <w:szCs w:val="22"/>
        </w:rPr>
        <w:t xml:space="preserve">or </w:t>
      </w:r>
      <m:oMath>
        <m:sSubSup>
          <m:sSubSupPr>
            <m:ctrlPr>
              <w:rPr>
                <w:rFonts w:ascii="Cambria Math" w:hAnsi="Cambria Math"/>
                <w:sz w:val="22"/>
                <w:szCs w:val="22"/>
              </w:rPr>
            </m:ctrlPr>
          </m:sSubSupPr>
          <m:e>
            <m:r>
              <m:rPr>
                <m:sty m:val="p"/>
              </m:rPr>
              <w:rPr>
                <w:rFonts w:ascii="Cambria Math" w:hAnsi="Cambria Math"/>
                <w:sz w:val="22"/>
                <w:szCs w:val="22"/>
              </w:rPr>
              <m:t>M</m:t>
            </m:r>
          </m:e>
          <m:sub>
            <m:r>
              <m:rPr>
                <m:sty m:val="p"/>
              </m:rPr>
              <w:rPr>
                <w:rFonts w:ascii="Cambria Math" w:hAnsi="Cambria Math"/>
                <w:sz w:val="22"/>
                <w:szCs w:val="22"/>
              </w:rPr>
              <m:t>PDCCH</m:t>
            </m:r>
          </m:sub>
          <m:sup>
            <m:r>
              <m:rPr>
                <m:sty m:val="p"/>
              </m:rPr>
              <w:rPr>
                <w:rFonts w:ascii="Cambria Math" w:hAnsi="Cambria Math"/>
                <w:sz w:val="22"/>
                <w:szCs w:val="22"/>
              </w:rPr>
              <m:t>max,slot,μ1</m:t>
            </m:r>
          </m:sup>
        </m:sSubSup>
      </m:oMath>
      <w:r w:rsidRPr="00200990">
        <w:rPr>
          <w:rFonts w:hint="eastAsia"/>
          <w:sz w:val="22"/>
          <w:szCs w:val="22"/>
        </w:rPr>
        <w:t>]</w:t>
      </w:r>
      <w:r w:rsidRPr="00200990">
        <w:rPr>
          <w:sz w:val="22"/>
          <w:szCs w:val="22"/>
        </w:rPr>
        <w:t xml:space="preserve"> is selected for the number of PDCCH BD candidates per sSCell slot. In our understanding, for CCS from sSCell to P(S)Cell, as </w:t>
      </w:r>
      <m:oMath>
        <m:sSubSup>
          <m:sSubSupPr>
            <m:ctrlPr>
              <w:rPr>
                <w:rFonts w:ascii="Cambria Math" w:hAnsi="Cambria Math"/>
                <w:sz w:val="22"/>
                <w:szCs w:val="22"/>
              </w:rPr>
            </m:ctrlPr>
          </m:sSubSupPr>
          <m:e>
            <m:r>
              <m:rPr>
                <m:sty m:val="p"/>
              </m:rPr>
              <w:rPr>
                <w:rFonts w:ascii="Cambria Math" w:hAnsi="Cambria Math"/>
                <w:sz w:val="22"/>
                <w:szCs w:val="22"/>
              </w:rPr>
              <m:t>M</m:t>
            </m:r>
          </m:e>
          <m:sub>
            <m:r>
              <m:rPr>
                <m:sty m:val="p"/>
              </m:rPr>
              <w:rPr>
                <w:rFonts w:ascii="Cambria Math" w:hAnsi="Cambria Math"/>
                <w:sz w:val="22"/>
                <w:szCs w:val="22"/>
              </w:rPr>
              <m:t>PDCCH</m:t>
            </m:r>
          </m:sub>
          <m:sup>
            <m:r>
              <m:rPr>
                <m:sty m:val="p"/>
              </m:rPr>
              <w:rPr>
                <w:rFonts w:ascii="Cambria Math" w:hAnsi="Cambria Math"/>
                <w:sz w:val="22"/>
                <w:szCs w:val="22"/>
              </w:rPr>
              <m:t>total,slot,μ</m:t>
            </m:r>
          </m:sup>
        </m:sSubSup>
      </m:oMath>
      <w:r w:rsidRPr="00200990">
        <w:rPr>
          <w:rFonts w:hint="eastAsia"/>
          <w:sz w:val="22"/>
          <w:szCs w:val="22"/>
        </w:rPr>
        <w:t xml:space="preserve"> </w:t>
      </w:r>
      <w:r w:rsidRPr="00200990">
        <w:rPr>
          <w:sz w:val="22"/>
          <w:szCs w:val="22"/>
        </w:rPr>
        <w:t xml:space="preserve">was already taken into account, it seems duplicate if </w:t>
      </w:r>
      <m:oMath>
        <m:sSubSup>
          <m:sSubSupPr>
            <m:ctrlPr>
              <w:rPr>
                <w:rFonts w:ascii="Cambria Math" w:hAnsi="Cambria Math"/>
                <w:sz w:val="22"/>
                <w:szCs w:val="22"/>
              </w:rPr>
            </m:ctrlPr>
          </m:sSubSupPr>
          <m:e>
            <m:r>
              <m:rPr>
                <m:sty m:val="p"/>
              </m:rPr>
              <w:rPr>
                <w:rFonts w:ascii="Cambria Math" w:hAnsi="Cambria Math"/>
                <w:sz w:val="22"/>
                <w:szCs w:val="22"/>
              </w:rPr>
              <m:t>M</m:t>
            </m:r>
          </m:e>
          <m:sub>
            <m:r>
              <m:rPr>
                <m:nor/>
              </m:rPr>
              <w:rPr>
                <w:sz w:val="22"/>
                <w:szCs w:val="22"/>
              </w:rPr>
              <m:t>PDCCH</m:t>
            </m:r>
          </m:sub>
          <m:sup>
            <m:r>
              <m:rPr>
                <m:nor/>
              </m:rPr>
              <w:rPr>
                <w:sz w:val="22"/>
                <w:szCs w:val="22"/>
              </w:rPr>
              <m:t>total,slot,</m:t>
            </m:r>
            <m:r>
              <m:rPr>
                <m:sty m:val="p"/>
              </m:rPr>
              <w:rPr>
                <w:rFonts w:ascii="Cambria Math" w:hAnsi="Cambria Math"/>
                <w:sz w:val="22"/>
                <w:szCs w:val="22"/>
              </w:rPr>
              <m:t>μ1</m:t>
            </m:r>
          </m:sup>
        </m:sSubSup>
      </m:oMath>
      <w:r w:rsidRPr="00200990">
        <w:rPr>
          <w:rFonts w:hint="eastAsia"/>
          <w:sz w:val="22"/>
          <w:szCs w:val="22"/>
        </w:rPr>
        <w:t xml:space="preserve"> </w:t>
      </w:r>
      <w:r w:rsidRPr="00200990">
        <w:rPr>
          <w:sz w:val="22"/>
          <w:szCs w:val="22"/>
        </w:rPr>
        <w:t>is taken into account for CCS from sSCell to P(S)Cell.</w:t>
      </w:r>
      <w:r>
        <w:rPr>
          <w:sz w:val="22"/>
          <w:szCs w:val="22"/>
        </w:rPr>
        <w:t xml:space="preserve"> Thus, the choice of </w:t>
      </w:r>
      <m:oMath>
        <m:sSubSup>
          <m:sSubSupPr>
            <m:ctrlPr>
              <w:rPr>
                <w:rFonts w:ascii="Cambria Math" w:hAnsi="Cambria Math"/>
                <w:sz w:val="22"/>
                <w:szCs w:val="22"/>
              </w:rPr>
            </m:ctrlPr>
          </m:sSubSupPr>
          <m:e>
            <m:r>
              <m:rPr>
                <m:sty m:val="p"/>
              </m:rPr>
              <w:rPr>
                <w:rFonts w:ascii="Cambria Math" w:hAnsi="Cambria Math"/>
                <w:sz w:val="22"/>
                <w:szCs w:val="22"/>
              </w:rPr>
              <m:t>M</m:t>
            </m:r>
          </m:e>
          <m:sub>
            <m:r>
              <m:rPr>
                <m:sty m:val="p"/>
              </m:rPr>
              <w:rPr>
                <w:rFonts w:ascii="Cambria Math" w:hAnsi="Cambria Math"/>
                <w:sz w:val="22"/>
                <w:szCs w:val="22"/>
              </w:rPr>
              <m:t>PDCCH</m:t>
            </m:r>
          </m:sub>
          <m:sup>
            <m:r>
              <m:rPr>
                <m:sty m:val="p"/>
              </m:rPr>
              <w:rPr>
                <w:rFonts w:ascii="Cambria Math" w:hAnsi="Cambria Math"/>
                <w:sz w:val="22"/>
                <w:szCs w:val="22"/>
              </w:rPr>
              <m:t>max,slot,μ1</m:t>
            </m:r>
          </m:sup>
        </m:sSubSup>
      </m:oMath>
      <w:r>
        <w:rPr>
          <w:rFonts w:hint="eastAsia"/>
          <w:sz w:val="22"/>
          <w:szCs w:val="22"/>
        </w:rPr>
        <w:t xml:space="preserve"> </w:t>
      </w:r>
      <w:r>
        <w:rPr>
          <w:sz w:val="22"/>
          <w:szCs w:val="22"/>
        </w:rPr>
        <w:t>is reasonable for better flexibility.</w:t>
      </w:r>
    </w:p>
    <w:p w14:paraId="0D1EC986" w14:textId="1474254F" w:rsidR="00200990" w:rsidRPr="0001222C" w:rsidRDefault="00200990" w:rsidP="00200990">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2:</w:t>
      </w:r>
    </w:p>
    <w:p w14:paraId="7125D745" w14:textId="25B5050A" w:rsidR="00200990" w:rsidRPr="00200990" w:rsidRDefault="00200990" w:rsidP="00200990">
      <w:pPr>
        <w:pStyle w:val="afd"/>
        <w:widowControl w:val="0"/>
        <w:numPr>
          <w:ilvl w:val="0"/>
          <w:numId w:val="7"/>
        </w:numPr>
        <w:spacing w:after="50"/>
        <w:ind w:leftChars="0"/>
        <w:rPr>
          <w:rFonts w:eastAsia="Malgun Gothic"/>
          <w:b/>
          <w:kern w:val="2"/>
          <w:sz w:val="22"/>
          <w:szCs w:val="22"/>
          <w:lang w:val="en-US"/>
        </w:rPr>
      </w:pPr>
      <w:r w:rsidRPr="00200990">
        <w:rPr>
          <w:rFonts w:eastAsia="Malgun Gothic"/>
          <w:b/>
          <w:kern w:val="2"/>
          <w:sz w:val="22"/>
          <w:szCs w:val="22"/>
          <w:lang w:val="en-US"/>
        </w:rPr>
        <w:t>For o</w:t>
      </w:r>
      <w:r>
        <w:rPr>
          <w:rFonts w:eastAsia="Malgun Gothic"/>
          <w:b/>
          <w:kern w:val="2"/>
          <w:sz w:val="22"/>
          <w:szCs w:val="22"/>
          <w:lang w:val="en-US"/>
        </w:rPr>
        <w:t>ption A on</w:t>
      </w:r>
      <w:r w:rsidRPr="00200990">
        <w:rPr>
          <w:rFonts w:eastAsia="Malgun Gothic"/>
          <w:b/>
          <w:kern w:val="2"/>
          <w:sz w:val="22"/>
          <w:szCs w:val="22"/>
          <w:lang w:val="en-US"/>
        </w:rPr>
        <w:t xml:space="preserve"> PDCCH BD limit handling, UE is not required to monitor more than </w:t>
      </w:r>
      <m:oMath>
        <m:sSubSup>
          <m:sSubSupPr>
            <m:ctrlPr>
              <w:rPr>
                <w:rFonts w:ascii="Cambria Math" w:hAnsi="Cambria Math"/>
                <w:b/>
                <w:sz w:val="22"/>
                <w:szCs w:val="22"/>
              </w:rPr>
            </m:ctrlPr>
          </m:sSubSupPr>
          <m:e>
            <m:r>
              <m:rPr>
                <m:sty m:val="b"/>
              </m:rPr>
              <w:rPr>
                <w:rFonts w:ascii="Cambria Math" w:hAnsi="Cambria Math"/>
                <w:sz w:val="22"/>
                <w:szCs w:val="22"/>
              </w:rPr>
              <m:t>M</m:t>
            </m:r>
          </m:e>
          <m:sub>
            <m:r>
              <m:rPr>
                <m:sty m:val="b"/>
              </m:rPr>
              <w:rPr>
                <w:rFonts w:ascii="Cambria Math" w:hAnsi="Cambria Math"/>
                <w:sz w:val="22"/>
                <w:szCs w:val="22"/>
              </w:rPr>
              <m:t>PDCCH</m:t>
            </m:r>
          </m:sub>
          <m:sup>
            <m:r>
              <m:rPr>
                <m:sty m:val="b"/>
              </m:rPr>
              <w:rPr>
                <w:rFonts w:ascii="Cambria Math" w:hAnsi="Cambria Math"/>
                <w:sz w:val="22"/>
                <w:szCs w:val="22"/>
              </w:rPr>
              <m:t>max,slot,μ1</m:t>
            </m:r>
          </m:sup>
        </m:sSubSup>
      </m:oMath>
      <w:r w:rsidRPr="00200990">
        <w:rPr>
          <w:rFonts w:eastAsia="Malgun Gothic"/>
          <w:b/>
          <w:kern w:val="2"/>
          <w:sz w:val="22"/>
          <w:szCs w:val="22"/>
          <w:lang w:val="en-US"/>
        </w:rPr>
        <w:t xml:space="preserve"> PDCCH BD candidates per sSCell slot</w:t>
      </w:r>
      <w:r>
        <w:rPr>
          <w:rFonts w:eastAsia="Malgun Gothic"/>
          <w:b/>
          <w:kern w:val="2"/>
          <w:sz w:val="22"/>
          <w:szCs w:val="22"/>
          <w:lang w:val="en-US"/>
        </w:rPr>
        <w:t>.</w:t>
      </w:r>
      <w:bookmarkStart w:id="2" w:name="_GoBack"/>
      <w:bookmarkEnd w:id="2"/>
    </w:p>
    <w:p w14:paraId="2038B363" w14:textId="52803F78" w:rsidR="00CE60B6" w:rsidRPr="00CE60B6" w:rsidRDefault="00CE60B6" w:rsidP="00CE60B6">
      <w:pPr>
        <w:spacing w:afterLines="50" w:after="120"/>
        <w:rPr>
          <w:sz w:val="22"/>
          <w:szCs w:val="22"/>
        </w:rPr>
      </w:pPr>
    </w:p>
    <w:p w14:paraId="3A46A439" w14:textId="4139AA7E" w:rsidR="00CE60B6" w:rsidRPr="00823487" w:rsidRDefault="00CE60B6" w:rsidP="00CE60B6">
      <w:pPr>
        <w:pStyle w:val="1"/>
        <w:numPr>
          <w:ilvl w:val="0"/>
          <w:numId w:val="6"/>
        </w:numPr>
        <w:spacing w:before="180" w:after="120"/>
        <w:rPr>
          <w:rFonts w:eastAsia="ＭＳ 明朝"/>
          <w:b/>
          <w:bCs/>
          <w:szCs w:val="24"/>
          <w:lang w:val="en-US"/>
        </w:rPr>
      </w:pPr>
      <w:r>
        <w:rPr>
          <w:rFonts w:eastAsia="ＭＳ 明朝"/>
          <w:b/>
          <w:bCs/>
          <w:szCs w:val="24"/>
          <w:lang w:val="en-US"/>
        </w:rPr>
        <w:t>Deactivation</w:t>
      </w:r>
    </w:p>
    <w:p w14:paraId="1410A641" w14:textId="1576742A" w:rsidR="009528C2" w:rsidRDefault="00C343D7" w:rsidP="00FA503B">
      <w:pPr>
        <w:widowControl w:val="0"/>
        <w:spacing w:after="50"/>
        <w:rPr>
          <w:sz w:val="22"/>
          <w:szCs w:val="22"/>
          <w:lang w:val="en-US"/>
        </w:rPr>
      </w:pPr>
      <w:r>
        <w:rPr>
          <w:sz w:val="22"/>
          <w:szCs w:val="22"/>
          <w:lang w:val="en-US"/>
        </w:rPr>
        <w:t>I</w:t>
      </w:r>
      <w:r w:rsidR="009528C2">
        <w:rPr>
          <w:sz w:val="22"/>
          <w:szCs w:val="22"/>
          <w:lang w:val="en-US"/>
        </w:rPr>
        <w:t xml:space="preserve">t was agreed to support dormant BWP operation on sSCell in addition to SCell deactivation on sCell. When sCell is deactive or with dormant BWP, non-fallback DCI formats cannot be used for P(S)Cell scheduling. Thus, when sCell is deactive or with dormant BWP, the mechanism for monitoring of non-fallback DCI formats on P(S)Cell should be supported. </w:t>
      </w:r>
    </w:p>
    <w:p w14:paraId="6CE1A0B1" w14:textId="66B33EB6" w:rsidR="00875814" w:rsidRPr="0001222C" w:rsidRDefault="00875814" w:rsidP="00875814">
      <w:pPr>
        <w:spacing w:afterLines="50" w:after="120"/>
        <w:rPr>
          <w:b/>
          <w:sz w:val="22"/>
          <w:szCs w:val="22"/>
          <w:lang w:val="en-US"/>
        </w:rPr>
      </w:pPr>
      <w:r>
        <w:rPr>
          <w:b/>
          <w:sz w:val="22"/>
          <w:szCs w:val="22"/>
          <w:lang w:val="en-US"/>
        </w:rPr>
        <w:t>Proposal</w:t>
      </w:r>
      <w:r>
        <w:rPr>
          <w:rFonts w:hint="eastAsia"/>
          <w:b/>
          <w:sz w:val="22"/>
          <w:szCs w:val="22"/>
          <w:lang w:val="en-US"/>
        </w:rPr>
        <w:t xml:space="preserve"> </w:t>
      </w:r>
      <w:r w:rsidR="009528C2">
        <w:rPr>
          <w:b/>
          <w:sz w:val="22"/>
          <w:szCs w:val="22"/>
          <w:lang w:val="en-US"/>
        </w:rPr>
        <w:t>3</w:t>
      </w:r>
      <w:r>
        <w:rPr>
          <w:b/>
          <w:sz w:val="22"/>
          <w:szCs w:val="22"/>
          <w:lang w:val="en-US"/>
        </w:rPr>
        <w:t>:</w:t>
      </w:r>
    </w:p>
    <w:p w14:paraId="26DE8ADB" w14:textId="5728F302" w:rsidR="00875814" w:rsidRPr="00C343D7" w:rsidRDefault="009528C2" w:rsidP="00C343D7">
      <w:pPr>
        <w:pStyle w:val="afd"/>
        <w:widowControl w:val="0"/>
        <w:numPr>
          <w:ilvl w:val="0"/>
          <w:numId w:val="7"/>
        </w:numPr>
        <w:spacing w:after="50"/>
        <w:ind w:leftChars="0"/>
        <w:rPr>
          <w:rFonts w:eastAsiaTheme="minorEastAsia"/>
          <w:b/>
          <w:kern w:val="2"/>
          <w:sz w:val="22"/>
          <w:szCs w:val="22"/>
        </w:rPr>
      </w:pPr>
      <w:r>
        <w:rPr>
          <w:rFonts w:eastAsia="Malgun Gothic"/>
          <w:b/>
          <w:kern w:val="2"/>
          <w:sz w:val="22"/>
          <w:szCs w:val="22"/>
          <w:lang w:val="en-US"/>
        </w:rPr>
        <w:t>W</w:t>
      </w:r>
      <w:r w:rsidRPr="009528C2">
        <w:rPr>
          <w:rFonts w:eastAsia="Malgun Gothic"/>
          <w:b/>
          <w:kern w:val="2"/>
          <w:sz w:val="22"/>
          <w:szCs w:val="22"/>
          <w:lang w:val="en-US"/>
        </w:rPr>
        <w:t>hen sCell is deactive or with dormant BWP, the mechanism for monitoring of non-fallback DCI formats o</w:t>
      </w:r>
      <w:r>
        <w:rPr>
          <w:rFonts w:eastAsia="Malgun Gothic"/>
          <w:b/>
          <w:kern w:val="2"/>
          <w:sz w:val="22"/>
          <w:szCs w:val="22"/>
          <w:lang w:val="en-US"/>
        </w:rPr>
        <w:t>n P(S)Cell should be supported.</w:t>
      </w:r>
    </w:p>
    <w:p w14:paraId="2CA09E51" w14:textId="037322E3" w:rsidR="00875814" w:rsidRPr="00FA503B" w:rsidRDefault="00875814" w:rsidP="00FA503B">
      <w:pPr>
        <w:widowControl w:val="0"/>
        <w:spacing w:after="5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2EE17209" w14:textId="20A9AD27" w:rsidR="00B9497F" w:rsidRPr="00C343D7" w:rsidRDefault="00112BA3" w:rsidP="00C343D7">
      <w:pPr>
        <w:spacing w:afterLines="50" w:after="120"/>
        <w:rPr>
          <w:rFonts w:eastAsia="ＭＳ 明朝"/>
          <w:sz w:val="22"/>
          <w:szCs w:val="22"/>
          <w:lang w:val="en-US"/>
        </w:rPr>
      </w:pPr>
      <w:r w:rsidRPr="00112BA3">
        <w:rPr>
          <w:rFonts w:eastAsia="ＭＳ 明朝"/>
          <w:sz w:val="22"/>
          <w:szCs w:val="22"/>
          <w:lang w:val="en-US"/>
        </w:rPr>
        <w:t>In th</w:t>
      </w:r>
      <w:r w:rsidR="00FA503B">
        <w:rPr>
          <w:rFonts w:eastAsia="ＭＳ 明朝"/>
          <w:sz w:val="22"/>
          <w:szCs w:val="22"/>
          <w:lang w:val="en-US"/>
        </w:rPr>
        <w:t>is contribution, we discussed</w:t>
      </w:r>
      <w:r w:rsidRPr="00112BA3">
        <w:rPr>
          <w:rFonts w:eastAsia="ＭＳ 明朝"/>
          <w:sz w:val="22"/>
          <w:szCs w:val="22"/>
          <w:lang w:val="en-US"/>
        </w:rPr>
        <w:t xml:space="preserve"> how to </w:t>
      </w:r>
      <w:r>
        <w:rPr>
          <w:rFonts w:eastAsia="ＭＳ 明朝"/>
          <w:sz w:val="22"/>
          <w:szCs w:val="22"/>
          <w:lang w:val="en-US"/>
        </w:rPr>
        <w:t xml:space="preserve">support </w:t>
      </w:r>
      <w:r w:rsidRPr="00112BA3">
        <w:rPr>
          <w:rFonts w:eastAsia="ＭＳ 明朝"/>
          <w:sz w:val="22"/>
          <w:szCs w:val="22"/>
          <w:lang w:val="en-US"/>
        </w:rPr>
        <w:t xml:space="preserve">PDCCH of </w:t>
      </w:r>
      <w:r w:rsidR="00837ED1">
        <w:rPr>
          <w:rFonts w:eastAsia="ＭＳ 明朝"/>
          <w:sz w:val="22"/>
          <w:szCs w:val="22"/>
          <w:lang w:val="en-US"/>
        </w:rPr>
        <w:t>s</w:t>
      </w:r>
      <w:r w:rsidRPr="00112BA3">
        <w:rPr>
          <w:rFonts w:eastAsia="ＭＳ 明朝"/>
          <w:sz w:val="22"/>
          <w:szCs w:val="22"/>
          <w:lang w:val="en-US"/>
        </w:rPr>
        <w:t>SCell scheduling PDSCH or PUSCH on P(S)Cell</w:t>
      </w:r>
      <w:r>
        <w:rPr>
          <w:rFonts w:eastAsia="ＭＳ 明朝"/>
          <w:sz w:val="22"/>
          <w:szCs w:val="22"/>
          <w:lang w:val="en-US"/>
        </w:rPr>
        <w:t xml:space="preserve"> </w:t>
      </w:r>
      <w:r w:rsidRPr="00112BA3">
        <w:rPr>
          <w:rFonts w:eastAsia="ＭＳ 明朝"/>
          <w:sz w:val="22"/>
          <w:szCs w:val="22"/>
          <w:lang w:val="en-US"/>
        </w:rPr>
        <w:t xml:space="preserve">for Rel-17 NR </w:t>
      </w:r>
      <w:r>
        <w:rPr>
          <w:rFonts w:eastAsia="ＭＳ 明朝"/>
          <w:sz w:val="22"/>
          <w:szCs w:val="22"/>
          <w:lang w:val="en-US"/>
        </w:rPr>
        <w:t>DSS</w:t>
      </w:r>
      <w:r w:rsidRPr="00112BA3">
        <w:rPr>
          <w:rFonts w:eastAsia="ＭＳ 明朝"/>
          <w:sz w:val="22"/>
          <w:szCs w:val="22"/>
          <w:lang w:val="en-US"/>
        </w:rPr>
        <w:t>. Based on the</w:t>
      </w:r>
      <w:r>
        <w:rPr>
          <w:rFonts w:eastAsia="ＭＳ 明朝"/>
          <w:sz w:val="22"/>
          <w:szCs w:val="22"/>
          <w:lang w:val="en-US"/>
        </w:rPr>
        <w:t xml:space="preserve"> discu</w:t>
      </w:r>
      <w:r w:rsidRPr="00B9497F">
        <w:rPr>
          <w:rFonts w:eastAsia="ＭＳ 明朝"/>
          <w:sz w:val="22"/>
          <w:szCs w:val="22"/>
          <w:lang w:val="en-US"/>
        </w:rPr>
        <w:t>ssion, we made following</w:t>
      </w:r>
      <w:r w:rsidR="00F221B9" w:rsidRPr="00B9497F">
        <w:rPr>
          <w:rFonts w:eastAsia="ＭＳ 明朝"/>
          <w:sz w:val="22"/>
          <w:szCs w:val="22"/>
          <w:lang w:val="en-US"/>
        </w:rPr>
        <w:t xml:space="preserve"> proposal</w:t>
      </w:r>
      <w:r w:rsidR="00875814">
        <w:rPr>
          <w:rFonts w:eastAsia="ＭＳ 明朝"/>
          <w:sz w:val="22"/>
          <w:szCs w:val="22"/>
          <w:lang w:val="en-US"/>
        </w:rPr>
        <w:t>s</w:t>
      </w:r>
      <w:r w:rsidRPr="00B9497F">
        <w:rPr>
          <w:rFonts w:eastAsia="ＭＳ 明朝"/>
          <w:sz w:val="22"/>
          <w:szCs w:val="22"/>
          <w:lang w:val="en-US"/>
        </w:rPr>
        <w:t>.</w:t>
      </w:r>
    </w:p>
    <w:p w14:paraId="1C0EE3A1" w14:textId="77777777" w:rsidR="00C343D7" w:rsidRPr="0001222C" w:rsidRDefault="00C343D7" w:rsidP="00C343D7">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1:</w:t>
      </w:r>
    </w:p>
    <w:p w14:paraId="023F5276" w14:textId="77777777" w:rsidR="00C343D7" w:rsidRPr="000F7712" w:rsidRDefault="00C343D7" w:rsidP="00C343D7">
      <w:pPr>
        <w:pStyle w:val="afd"/>
        <w:widowControl w:val="0"/>
        <w:numPr>
          <w:ilvl w:val="0"/>
          <w:numId w:val="7"/>
        </w:numPr>
        <w:spacing w:after="50"/>
        <w:ind w:leftChars="0"/>
        <w:rPr>
          <w:rFonts w:eastAsiaTheme="minorEastAsia"/>
          <w:b/>
          <w:kern w:val="2"/>
          <w:sz w:val="22"/>
          <w:szCs w:val="22"/>
        </w:rPr>
      </w:pPr>
      <w:r>
        <w:rPr>
          <w:rFonts w:eastAsia="Malgun Gothic"/>
          <w:b/>
          <w:kern w:val="2"/>
          <w:sz w:val="22"/>
          <w:szCs w:val="22"/>
          <w:lang w:val="en-US"/>
        </w:rPr>
        <w:t>Confirm the following working assumption:</w:t>
      </w:r>
    </w:p>
    <w:p w14:paraId="052C15B6" w14:textId="2A9DA57F" w:rsidR="00C343D7" w:rsidRDefault="00C343D7" w:rsidP="00B9497F">
      <w:pPr>
        <w:pStyle w:val="afd"/>
        <w:numPr>
          <w:ilvl w:val="1"/>
          <w:numId w:val="7"/>
        </w:numPr>
        <w:ind w:leftChars="0"/>
        <w:rPr>
          <w:rFonts w:eastAsiaTheme="minorEastAsia"/>
          <w:b/>
          <w:kern w:val="2"/>
          <w:sz w:val="22"/>
          <w:szCs w:val="22"/>
        </w:rPr>
      </w:pPr>
      <w:r w:rsidRPr="000F7712">
        <w:rPr>
          <w:rFonts w:eastAsiaTheme="minorEastAsia"/>
          <w:b/>
          <w:kern w:val="2"/>
          <w:sz w:val="22"/>
          <w:szCs w:val="22"/>
        </w:rPr>
        <w:t>When CIF for sSCell to PCell cross-carrier scheduling is configured, non-fallback DCI formats on P(S)Cell include same number of CIF bits as the corresponding non-fallback DCI formats on sSCell that are used for sSCell to P(S)Cell scheduling</w:t>
      </w:r>
      <w:r>
        <w:rPr>
          <w:rFonts w:eastAsiaTheme="minorEastAsia"/>
          <w:b/>
          <w:kern w:val="2"/>
          <w:sz w:val="22"/>
          <w:szCs w:val="22"/>
        </w:rPr>
        <w:t>.</w:t>
      </w:r>
    </w:p>
    <w:p w14:paraId="7CE2C88F" w14:textId="77777777" w:rsidR="00C343D7" w:rsidRPr="00C343D7" w:rsidRDefault="00C343D7" w:rsidP="00C343D7">
      <w:pPr>
        <w:rPr>
          <w:rFonts w:eastAsiaTheme="minorEastAsia"/>
          <w:b/>
          <w:kern w:val="2"/>
          <w:sz w:val="22"/>
          <w:szCs w:val="22"/>
        </w:rPr>
      </w:pPr>
    </w:p>
    <w:p w14:paraId="70859923" w14:textId="77777777" w:rsidR="00C343D7" w:rsidRPr="0001222C" w:rsidRDefault="00C343D7" w:rsidP="00C343D7">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2:</w:t>
      </w:r>
    </w:p>
    <w:p w14:paraId="0A567642" w14:textId="565CCE5A" w:rsidR="00C343D7" w:rsidRDefault="00C343D7" w:rsidP="00B9497F">
      <w:pPr>
        <w:pStyle w:val="afd"/>
        <w:widowControl w:val="0"/>
        <w:numPr>
          <w:ilvl w:val="0"/>
          <w:numId w:val="7"/>
        </w:numPr>
        <w:spacing w:after="50"/>
        <w:ind w:leftChars="0"/>
        <w:rPr>
          <w:rFonts w:eastAsia="Malgun Gothic"/>
          <w:b/>
          <w:kern w:val="2"/>
          <w:sz w:val="22"/>
          <w:szCs w:val="22"/>
          <w:lang w:val="en-US"/>
        </w:rPr>
      </w:pPr>
      <w:r w:rsidRPr="00200990">
        <w:rPr>
          <w:rFonts w:eastAsia="Malgun Gothic"/>
          <w:b/>
          <w:kern w:val="2"/>
          <w:sz w:val="22"/>
          <w:szCs w:val="22"/>
          <w:lang w:val="en-US"/>
        </w:rPr>
        <w:t>For o</w:t>
      </w:r>
      <w:r>
        <w:rPr>
          <w:rFonts w:eastAsia="Malgun Gothic"/>
          <w:b/>
          <w:kern w:val="2"/>
          <w:sz w:val="22"/>
          <w:szCs w:val="22"/>
          <w:lang w:val="en-US"/>
        </w:rPr>
        <w:t>ption A on</w:t>
      </w:r>
      <w:r w:rsidRPr="00200990">
        <w:rPr>
          <w:rFonts w:eastAsia="Malgun Gothic"/>
          <w:b/>
          <w:kern w:val="2"/>
          <w:sz w:val="22"/>
          <w:szCs w:val="22"/>
          <w:lang w:val="en-US"/>
        </w:rPr>
        <w:t xml:space="preserve"> PDCCH BD limit handling, UE is not required to monitor more than </w:t>
      </w:r>
      <m:oMath>
        <m:sSubSup>
          <m:sSubSupPr>
            <m:ctrlPr>
              <w:rPr>
                <w:rFonts w:ascii="Cambria Math" w:hAnsi="Cambria Math"/>
                <w:b/>
                <w:sz w:val="22"/>
                <w:szCs w:val="22"/>
              </w:rPr>
            </m:ctrlPr>
          </m:sSubSupPr>
          <m:e>
            <m:r>
              <m:rPr>
                <m:sty m:val="b"/>
              </m:rPr>
              <w:rPr>
                <w:rFonts w:ascii="Cambria Math" w:hAnsi="Cambria Math"/>
                <w:sz w:val="22"/>
                <w:szCs w:val="22"/>
              </w:rPr>
              <m:t>M</m:t>
            </m:r>
          </m:e>
          <m:sub>
            <m:r>
              <m:rPr>
                <m:sty m:val="b"/>
              </m:rPr>
              <w:rPr>
                <w:rFonts w:ascii="Cambria Math" w:hAnsi="Cambria Math"/>
                <w:sz w:val="22"/>
                <w:szCs w:val="22"/>
              </w:rPr>
              <m:t>PDCCH</m:t>
            </m:r>
          </m:sub>
          <m:sup>
            <m:r>
              <m:rPr>
                <m:sty m:val="b"/>
              </m:rPr>
              <w:rPr>
                <w:rFonts w:ascii="Cambria Math" w:hAnsi="Cambria Math"/>
                <w:sz w:val="22"/>
                <w:szCs w:val="22"/>
              </w:rPr>
              <m:t>max,slot,μ1</m:t>
            </m:r>
          </m:sup>
        </m:sSubSup>
      </m:oMath>
      <w:r w:rsidRPr="00200990">
        <w:rPr>
          <w:rFonts w:eastAsia="Malgun Gothic"/>
          <w:b/>
          <w:kern w:val="2"/>
          <w:sz w:val="22"/>
          <w:szCs w:val="22"/>
          <w:lang w:val="en-US"/>
        </w:rPr>
        <w:t xml:space="preserve"> PDCCH BD candidates per sSCell slot</w:t>
      </w:r>
      <w:r>
        <w:rPr>
          <w:rFonts w:eastAsia="Malgun Gothic"/>
          <w:b/>
          <w:kern w:val="2"/>
          <w:sz w:val="22"/>
          <w:szCs w:val="22"/>
          <w:lang w:val="en-US"/>
        </w:rPr>
        <w:t>.</w:t>
      </w:r>
    </w:p>
    <w:p w14:paraId="416524E4" w14:textId="77777777" w:rsidR="00C343D7" w:rsidRPr="00C343D7" w:rsidRDefault="00C343D7" w:rsidP="00C343D7">
      <w:pPr>
        <w:widowControl w:val="0"/>
        <w:spacing w:after="50"/>
        <w:rPr>
          <w:rFonts w:eastAsiaTheme="minorEastAsia"/>
          <w:b/>
          <w:kern w:val="2"/>
          <w:sz w:val="22"/>
          <w:szCs w:val="22"/>
          <w:lang w:val="en-US"/>
        </w:rPr>
      </w:pPr>
    </w:p>
    <w:p w14:paraId="7983C762" w14:textId="77777777" w:rsidR="00C343D7" w:rsidRPr="0001222C" w:rsidRDefault="00C343D7" w:rsidP="00C343D7">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3:</w:t>
      </w:r>
    </w:p>
    <w:p w14:paraId="4F84E500" w14:textId="77777777" w:rsidR="00C343D7" w:rsidRPr="00C343D7" w:rsidRDefault="00C343D7" w:rsidP="00C343D7">
      <w:pPr>
        <w:pStyle w:val="afd"/>
        <w:widowControl w:val="0"/>
        <w:numPr>
          <w:ilvl w:val="0"/>
          <w:numId w:val="7"/>
        </w:numPr>
        <w:spacing w:after="50"/>
        <w:ind w:leftChars="0"/>
        <w:rPr>
          <w:rFonts w:eastAsiaTheme="minorEastAsia"/>
          <w:b/>
          <w:kern w:val="2"/>
          <w:sz w:val="22"/>
          <w:szCs w:val="22"/>
        </w:rPr>
      </w:pPr>
      <w:r>
        <w:rPr>
          <w:rFonts w:eastAsia="Malgun Gothic"/>
          <w:b/>
          <w:kern w:val="2"/>
          <w:sz w:val="22"/>
          <w:szCs w:val="22"/>
          <w:lang w:val="en-US"/>
        </w:rPr>
        <w:t>W</w:t>
      </w:r>
      <w:r w:rsidRPr="009528C2">
        <w:rPr>
          <w:rFonts w:eastAsia="Malgun Gothic"/>
          <w:b/>
          <w:kern w:val="2"/>
          <w:sz w:val="22"/>
          <w:szCs w:val="22"/>
          <w:lang w:val="en-US"/>
        </w:rPr>
        <w:t>hen sCell is deactive or with dormant BWP, the mechanism for monitoring of non-fallback DCI formats o</w:t>
      </w:r>
      <w:r>
        <w:rPr>
          <w:rFonts w:eastAsia="Malgun Gothic"/>
          <w:b/>
          <w:kern w:val="2"/>
          <w:sz w:val="22"/>
          <w:szCs w:val="22"/>
          <w:lang w:val="en-US"/>
        </w:rPr>
        <w:t>n P(S)Cell should be supported.</w:t>
      </w:r>
    </w:p>
    <w:p w14:paraId="52B81552" w14:textId="77777777" w:rsidR="00C343D7" w:rsidRPr="00C343D7" w:rsidRDefault="00C343D7" w:rsidP="00B9497F">
      <w:pPr>
        <w:rPr>
          <w:sz w:val="22"/>
        </w:rPr>
      </w:pPr>
    </w:p>
    <w:p w14:paraId="095F0F90" w14:textId="25387532" w:rsidR="003B4AFE" w:rsidRPr="00532B52" w:rsidRDefault="009E3AC0" w:rsidP="00532B52">
      <w:pPr>
        <w:pStyle w:val="1"/>
        <w:spacing w:before="180" w:after="120"/>
        <w:rPr>
          <w:rFonts w:eastAsia="ＭＳ 明朝"/>
          <w:b/>
          <w:bCs/>
          <w:szCs w:val="24"/>
          <w:lang w:val="en-US"/>
        </w:rPr>
      </w:pPr>
      <w:r w:rsidRPr="00EE092A">
        <w:rPr>
          <w:rFonts w:eastAsia="ＭＳ 明朝"/>
          <w:b/>
          <w:bCs/>
          <w:szCs w:val="24"/>
          <w:lang w:val="en-US"/>
        </w:rPr>
        <w:t>References</w:t>
      </w:r>
    </w:p>
    <w:p w14:paraId="429BAC28" w14:textId="7FA5A051" w:rsidR="0039266A" w:rsidRPr="00704AE6" w:rsidRDefault="00704AE6" w:rsidP="00704AE6">
      <w:pPr>
        <w:numPr>
          <w:ilvl w:val="0"/>
          <w:numId w:val="4"/>
        </w:numPr>
        <w:spacing w:afterLines="50" w:after="120"/>
        <w:rPr>
          <w:rFonts w:eastAsia="ＭＳ 明朝"/>
          <w:sz w:val="22"/>
        </w:rPr>
      </w:pPr>
      <w:r w:rsidRPr="00654924">
        <w:rPr>
          <w:rFonts w:eastAsia="ＭＳ 明朝"/>
          <w:sz w:val="22"/>
        </w:rPr>
        <w:t>3GPP RAN1</w:t>
      </w:r>
      <w:r>
        <w:rPr>
          <w:rFonts w:eastAsia="ＭＳ 明朝" w:hint="eastAsia"/>
          <w:sz w:val="22"/>
        </w:rPr>
        <w:t>#10</w:t>
      </w:r>
      <w:r w:rsidR="007F7E9E">
        <w:rPr>
          <w:rFonts w:eastAsia="ＭＳ 明朝"/>
          <w:sz w:val="22"/>
        </w:rPr>
        <w:t>6</w:t>
      </w:r>
      <w:r w:rsidR="00DC7C29">
        <w:rPr>
          <w:rFonts w:eastAsia="ＭＳ 明朝"/>
          <w:sz w:val="22"/>
        </w:rPr>
        <w:t>bis</w:t>
      </w:r>
      <w:r>
        <w:rPr>
          <w:rFonts w:eastAsia="ＭＳ 明朝" w:hint="eastAsia"/>
          <w:sz w:val="22"/>
        </w:rPr>
        <w:t>-e</w:t>
      </w:r>
      <w:r w:rsidRPr="00654924">
        <w:rPr>
          <w:rFonts w:eastAsia="ＭＳ 明朝"/>
          <w:sz w:val="22"/>
        </w:rPr>
        <w:t xml:space="preserve">, Chairman’s note, </w:t>
      </w:r>
      <w:r w:rsidR="00DC7C29">
        <w:rPr>
          <w:rFonts w:eastAsia="ＭＳ 明朝"/>
          <w:sz w:val="22"/>
        </w:rPr>
        <w:t>October</w:t>
      </w:r>
      <w:r>
        <w:rPr>
          <w:rFonts w:eastAsia="ＭＳ 明朝" w:hint="eastAsia"/>
          <w:sz w:val="22"/>
        </w:rPr>
        <w:t xml:space="preserve"> </w:t>
      </w:r>
      <w:r>
        <w:rPr>
          <w:rFonts w:eastAsia="ＭＳ 明朝"/>
          <w:sz w:val="22"/>
        </w:rPr>
        <w:t>2021</w:t>
      </w:r>
      <w:r w:rsidRPr="00654924">
        <w:rPr>
          <w:rFonts w:eastAsia="ＭＳ 明朝" w:hint="eastAsia"/>
          <w:sz w:val="22"/>
        </w:rPr>
        <w:t>.</w:t>
      </w:r>
    </w:p>
    <w:sectPr w:rsidR="0039266A" w:rsidRPr="00704AE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F2EF1" w14:textId="77777777" w:rsidR="00FC33A2" w:rsidRDefault="00FC33A2">
      <w:r>
        <w:separator/>
      </w:r>
    </w:p>
  </w:endnote>
  <w:endnote w:type="continuationSeparator" w:id="0">
    <w:p w14:paraId="45F4C1D8" w14:textId="77777777" w:rsidR="00FC33A2" w:rsidRDefault="00FC33A2">
      <w:r>
        <w:continuationSeparator/>
      </w:r>
    </w:p>
  </w:endnote>
  <w:endnote w:type="continuationNotice" w:id="1">
    <w:p w14:paraId="4EBB122A" w14:textId="77777777" w:rsidR="00FC33A2" w:rsidRDefault="00FC3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2A087A1D"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47CE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47CE5">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B5219" w14:textId="77777777" w:rsidR="00FC33A2" w:rsidRDefault="00FC33A2">
      <w:r>
        <w:separator/>
      </w:r>
    </w:p>
  </w:footnote>
  <w:footnote w:type="continuationSeparator" w:id="0">
    <w:p w14:paraId="0D9BA92B" w14:textId="77777777" w:rsidR="00FC33A2" w:rsidRDefault="00FC33A2">
      <w:r>
        <w:continuationSeparator/>
      </w:r>
    </w:p>
  </w:footnote>
  <w:footnote w:type="continuationNotice" w:id="1">
    <w:p w14:paraId="7DA48E8A" w14:textId="77777777" w:rsidR="00FC33A2" w:rsidRDefault="00FC33A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BA5D25"/>
    <w:multiLevelType w:val="hybridMultilevel"/>
    <w:tmpl w:val="9A008E58"/>
    <w:lvl w:ilvl="0" w:tplc="5900BD7C">
      <w:start w:val="1"/>
      <w:numFmt w:val="bullet"/>
      <w:lvlText w:val="•"/>
      <w:lvlJc w:val="left"/>
      <w:pPr>
        <w:ind w:left="420" w:hanging="420"/>
      </w:pPr>
      <w:rPr>
        <w:rFonts w:ascii="Arial" w:hAnsi="Arial"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56C64E0"/>
    <w:multiLevelType w:val="multilevel"/>
    <w:tmpl w:val="3F7E4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8015A3F"/>
    <w:multiLevelType w:val="multilevel"/>
    <w:tmpl w:val="A1C6C28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9F52E0F"/>
    <w:multiLevelType w:val="multilevel"/>
    <w:tmpl w:val="5B68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3"/>
  </w:num>
  <w:num w:numId="5">
    <w:abstractNumId w:val="12"/>
  </w:num>
  <w:num w:numId="6">
    <w:abstractNumId w:val="8"/>
  </w:num>
  <w:num w:numId="7">
    <w:abstractNumId w:val="2"/>
  </w:num>
  <w:num w:numId="8">
    <w:abstractNumId w:val="5"/>
  </w:num>
  <w:num w:numId="9">
    <w:abstractNumId w:val="4"/>
  </w:num>
  <w:num w:numId="10">
    <w:abstractNumId w:val="11"/>
  </w:num>
  <w:num w:numId="11">
    <w:abstractNumId w:val="10"/>
  </w:num>
  <w:num w:numId="12">
    <w:abstractNumId w:val="7"/>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534"/>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C98"/>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093E"/>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AC0"/>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963"/>
    <w:rsid w:val="00050BAA"/>
    <w:rsid w:val="00051485"/>
    <w:rsid w:val="000514EA"/>
    <w:rsid w:val="00051FC2"/>
    <w:rsid w:val="00052465"/>
    <w:rsid w:val="00052786"/>
    <w:rsid w:val="00052AAB"/>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560"/>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6F9B"/>
    <w:rsid w:val="000779A9"/>
    <w:rsid w:val="00077FFC"/>
    <w:rsid w:val="000808D4"/>
    <w:rsid w:val="00080DDF"/>
    <w:rsid w:val="00080EC6"/>
    <w:rsid w:val="000810E6"/>
    <w:rsid w:val="000811F9"/>
    <w:rsid w:val="00081532"/>
    <w:rsid w:val="00081588"/>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6DCC"/>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A4"/>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71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A3"/>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09B"/>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2748"/>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C70"/>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625"/>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8E2"/>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5E"/>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C6A"/>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094"/>
    <w:rsid w:val="001F55BE"/>
    <w:rsid w:val="001F56DC"/>
    <w:rsid w:val="001F59AC"/>
    <w:rsid w:val="001F5DFE"/>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990"/>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27"/>
    <w:rsid w:val="002049D5"/>
    <w:rsid w:val="00204B06"/>
    <w:rsid w:val="00204BAA"/>
    <w:rsid w:val="00204D02"/>
    <w:rsid w:val="00204D1D"/>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72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781"/>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0E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7FF"/>
    <w:rsid w:val="002808E2"/>
    <w:rsid w:val="002808E6"/>
    <w:rsid w:val="002809EC"/>
    <w:rsid w:val="0028122E"/>
    <w:rsid w:val="00281EF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46A"/>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5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5FE"/>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3C6"/>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7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A94"/>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599"/>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66A"/>
    <w:rsid w:val="00392FB5"/>
    <w:rsid w:val="00393268"/>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1F2"/>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0F4F"/>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2A"/>
    <w:rsid w:val="003B3ECF"/>
    <w:rsid w:val="003B3F44"/>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292"/>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4E9"/>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75E"/>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6C1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CC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2E"/>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39"/>
    <w:rsid w:val="00432FA5"/>
    <w:rsid w:val="00433129"/>
    <w:rsid w:val="00433A22"/>
    <w:rsid w:val="004340CC"/>
    <w:rsid w:val="004340F5"/>
    <w:rsid w:val="0043416D"/>
    <w:rsid w:val="004343FF"/>
    <w:rsid w:val="004345CF"/>
    <w:rsid w:val="00434782"/>
    <w:rsid w:val="004347E4"/>
    <w:rsid w:val="004349A0"/>
    <w:rsid w:val="004349EB"/>
    <w:rsid w:val="00435062"/>
    <w:rsid w:val="00435201"/>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37C"/>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294"/>
    <w:rsid w:val="00466786"/>
    <w:rsid w:val="00467039"/>
    <w:rsid w:val="0046722E"/>
    <w:rsid w:val="004679CE"/>
    <w:rsid w:val="00467A8B"/>
    <w:rsid w:val="00467AB5"/>
    <w:rsid w:val="00467AFF"/>
    <w:rsid w:val="00467BBE"/>
    <w:rsid w:val="004705E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264"/>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2BB9"/>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58E"/>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6FA"/>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8F7"/>
    <w:rsid w:val="004D3BC0"/>
    <w:rsid w:val="004D3C17"/>
    <w:rsid w:val="004D3E8E"/>
    <w:rsid w:val="004D417E"/>
    <w:rsid w:val="004D4488"/>
    <w:rsid w:val="004D46F3"/>
    <w:rsid w:val="004D47F9"/>
    <w:rsid w:val="004D4BD9"/>
    <w:rsid w:val="004D4CE2"/>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31F"/>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238"/>
    <w:rsid w:val="00500961"/>
    <w:rsid w:val="00500EB0"/>
    <w:rsid w:val="00500F4A"/>
    <w:rsid w:val="00501A05"/>
    <w:rsid w:val="005020E1"/>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AED"/>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7E"/>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CA7"/>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B52"/>
    <w:rsid w:val="00532C79"/>
    <w:rsid w:val="005334CD"/>
    <w:rsid w:val="00533587"/>
    <w:rsid w:val="005338BD"/>
    <w:rsid w:val="00533A59"/>
    <w:rsid w:val="00534351"/>
    <w:rsid w:val="00534656"/>
    <w:rsid w:val="00534CC3"/>
    <w:rsid w:val="00534D2F"/>
    <w:rsid w:val="00534D96"/>
    <w:rsid w:val="00535083"/>
    <w:rsid w:val="0053509C"/>
    <w:rsid w:val="005355E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586"/>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455"/>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2D39"/>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8C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22F"/>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B26"/>
    <w:rsid w:val="00600F2B"/>
    <w:rsid w:val="0060144A"/>
    <w:rsid w:val="00601546"/>
    <w:rsid w:val="00601605"/>
    <w:rsid w:val="00601624"/>
    <w:rsid w:val="00601998"/>
    <w:rsid w:val="00601B56"/>
    <w:rsid w:val="00601D29"/>
    <w:rsid w:val="006022DD"/>
    <w:rsid w:val="006024D6"/>
    <w:rsid w:val="0060263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439"/>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3CE"/>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CE5"/>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CF9"/>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5C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4BF"/>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91B"/>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AE6"/>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EB"/>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BF5"/>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B58"/>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BD"/>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0E8"/>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6A3"/>
    <w:rsid w:val="007B2B08"/>
    <w:rsid w:val="007B2C0C"/>
    <w:rsid w:val="007B2CD9"/>
    <w:rsid w:val="007B2CFF"/>
    <w:rsid w:val="007B2DD3"/>
    <w:rsid w:val="007B2E1D"/>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69"/>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509"/>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7F7E9E"/>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A6F"/>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487"/>
    <w:rsid w:val="00823608"/>
    <w:rsid w:val="00823965"/>
    <w:rsid w:val="00823FBC"/>
    <w:rsid w:val="008243CE"/>
    <w:rsid w:val="008244BF"/>
    <w:rsid w:val="00824547"/>
    <w:rsid w:val="00824EB2"/>
    <w:rsid w:val="00824F86"/>
    <w:rsid w:val="00825428"/>
    <w:rsid w:val="0082548D"/>
    <w:rsid w:val="00825E57"/>
    <w:rsid w:val="00826163"/>
    <w:rsid w:val="00826562"/>
    <w:rsid w:val="008267C4"/>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37ED1"/>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2C73"/>
    <w:rsid w:val="00843097"/>
    <w:rsid w:val="0084315A"/>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814"/>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23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D1F"/>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256"/>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188"/>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BDD"/>
    <w:rsid w:val="00911712"/>
    <w:rsid w:val="009118F1"/>
    <w:rsid w:val="00911B7A"/>
    <w:rsid w:val="0091230A"/>
    <w:rsid w:val="00912498"/>
    <w:rsid w:val="00912604"/>
    <w:rsid w:val="00912763"/>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171"/>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37979"/>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4E5"/>
    <w:rsid w:val="00950526"/>
    <w:rsid w:val="00950561"/>
    <w:rsid w:val="009507D6"/>
    <w:rsid w:val="00950B41"/>
    <w:rsid w:val="0095115B"/>
    <w:rsid w:val="009512E3"/>
    <w:rsid w:val="0095166F"/>
    <w:rsid w:val="00951ECB"/>
    <w:rsid w:val="0095209F"/>
    <w:rsid w:val="00952138"/>
    <w:rsid w:val="009523DF"/>
    <w:rsid w:val="0095273C"/>
    <w:rsid w:val="009528C2"/>
    <w:rsid w:val="009528CA"/>
    <w:rsid w:val="009529AA"/>
    <w:rsid w:val="00952B27"/>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3D6"/>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6CDD"/>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C0D"/>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82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982"/>
    <w:rsid w:val="00A01A07"/>
    <w:rsid w:val="00A01AE4"/>
    <w:rsid w:val="00A01CA6"/>
    <w:rsid w:val="00A020BD"/>
    <w:rsid w:val="00A02188"/>
    <w:rsid w:val="00A0257B"/>
    <w:rsid w:val="00A0289C"/>
    <w:rsid w:val="00A02C60"/>
    <w:rsid w:val="00A02D45"/>
    <w:rsid w:val="00A0300D"/>
    <w:rsid w:val="00A0357D"/>
    <w:rsid w:val="00A0414F"/>
    <w:rsid w:val="00A04926"/>
    <w:rsid w:val="00A04BA0"/>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ADB"/>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39"/>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5DE7"/>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CB7"/>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564"/>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B7CA0"/>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726"/>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27"/>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AF7"/>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4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2DAC"/>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C21"/>
    <w:rsid w:val="00B35275"/>
    <w:rsid w:val="00B35498"/>
    <w:rsid w:val="00B3563A"/>
    <w:rsid w:val="00B358FD"/>
    <w:rsid w:val="00B35C69"/>
    <w:rsid w:val="00B362AF"/>
    <w:rsid w:val="00B362BB"/>
    <w:rsid w:val="00B363DD"/>
    <w:rsid w:val="00B36586"/>
    <w:rsid w:val="00B372E3"/>
    <w:rsid w:val="00B372E7"/>
    <w:rsid w:val="00B377FF"/>
    <w:rsid w:val="00B37878"/>
    <w:rsid w:val="00B379C7"/>
    <w:rsid w:val="00B379CE"/>
    <w:rsid w:val="00B37CC1"/>
    <w:rsid w:val="00B37E64"/>
    <w:rsid w:val="00B40A5C"/>
    <w:rsid w:val="00B40EEC"/>
    <w:rsid w:val="00B40F2C"/>
    <w:rsid w:val="00B412C6"/>
    <w:rsid w:val="00B4130C"/>
    <w:rsid w:val="00B41313"/>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97F"/>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86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2D4"/>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2E"/>
    <w:rsid w:val="00C2504F"/>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337"/>
    <w:rsid w:val="00C31F8A"/>
    <w:rsid w:val="00C31FB1"/>
    <w:rsid w:val="00C326A1"/>
    <w:rsid w:val="00C32800"/>
    <w:rsid w:val="00C3284B"/>
    <w:rsid w:val="00C32DFF"/>
    <w:rsid w:val="00C331F6"/>
    <w:rsid w:val="00C33A84"/>
    <w:rsid w:val="00C33B2A"/>
    <w:rsid w:val="00C3400D"/>
    <w:rsid w:val="00C3425F"/>
    <w:rsid w:val="00C342A5"/>
    <w:rsid w:val="00C343D7"/>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CD3"/>
    <w:rsid w:val="00C62031"/>
    <w:rsid w:val="00C6219D"/>
    <w:rsid w:val="00C626B3"/>
    <w:rsid w:val="00C62810"/>
    <w:rsid w:val="00C62B15"/>
    <w:rsid w:val="00C63101"/>
    <w:rsid w:val="00C63962"/>
    <w:rsid w:val="00C63BE5"/>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4ECF"/>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2FC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6E8"/>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636"/>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1FB"/>
    <w:rsid w:val="00CD19A3"/>
    <w:rsid w:val="00CD1B1F"/>
    <w:rsid w:val="00CD1D47"/>
    <w:rsid w:val="00CD23C2"/>
    <w:rsid w:val="00CD288B"/>
    <w:rsid w:val="00CD289E"/>
    <w:rsid w:val="00CD2999"/>
    <w:rsid w:val="00CD2D59"/>
    <w:rsid w:val="00CD3DF0"/>
    <w:rsid w:val="00CD43C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ABF"/>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0B6"/>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9F1"/>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3E"/>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3E8"/>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72"/>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6B3"/>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C29"/>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76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7DE"/>
    <w:rsid w:val="00DF684F"/>
    <w:rsid w:val="00DF6896"/>
    <w:rsid w:val="00DF6D42"/>
    <w:rsid w:val="00DF6D5F"/>
    <w:rsid w:val="00DF6FA7"/>
    <w:rsid w:val="00DF74FC"/>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AC9"/>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40"/>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2ACC"/>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0F2"/>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F00"/>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1B9"/>
    <w:rsid w:val="00F2221C"/>
    <w:rsid w:val="00F22827"/>
    <w:rsid w:val="00F232E1"/>
    <w:rsid w:val="00F234E1"/>
    <w:rsid w:val="00F2388B"/>
    <w:rsid w:val="00F23BBC"/>
    <w:rsid w:val="00F23C03"/>
    <w:rsid w:val="00F23C64"/>
    <w:rsid w:val="00F2417B"/>
    <w:rsid w:val="00F24274"/>
    <w:rsid w:val="00F251CB"/>
    <w:rsid w:val="00F2589E"/>
    <w:rsid w:val="00F25E2C"/>
    <w:rsid w:val="00F26016"/>
    <w:rsid w:val="00F2645B"/>
    <w:rsid w:val="00F26A74"/>
    <w:rsid w:val="00F26CDD"/>
    <w:rsid w:val="00F26E03"/>
    <w:rsid w:val="00F26F5E"/>
    <w:rsid w:val="00F277EA"/>
    <w:rsid w:val="00F30910"/>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623"/>
    <w:rsid w:val="00F4478B"/>
    <w:rsid w:val="00F44BF7"/>
    <w:rsid w:val="00F44DC6"/>
    <w:rsid w:val="00F45301"/>
    <w:rsid w:val="00F455B8"/>
    <w:rsid w:val="00F45793"/>
    <w:rsid w:val="00F4582D"/>
    <w:rsid w:val="00F4596F"/>
    <w:rsid w:val="00F45C65"/>
    <w:rsid w:val="00F45CF6"/>
    <w:rsid w:val="00F4607B"/>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83C"/>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385"/>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07B"/>
    <w:rsid w:val="00F9623D"/>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03B"/>
    <w:rsid w:val="00FA521E"/>
    <w:rsid w:val="00FA521F"/>
    <w:rsid w:val="00FA5634"/>
    <w:rsid w:val="00FA566D"/>
    <w:rsid w:val="00FA574F"/>
    <w:rsid w:val="00FA5912"/>
    <w:rsid w:val="00FA5EA8"/>
    <w:rsid w:val="00FA5F0C"/>
    <w:rsid w:val="00FA6122"/>
    <w:rsid w:val="00FA693B"/>
    <w:rsid w:val="00FA6CF9"/>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3A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A8C"/>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5D7"/>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630"/>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853322">
      <w:bodyDiv w:val="1"/>
      <w:marLeft w:val="0"/>
      <w:marRight w:val="0"/>
      <w:marTop w:val="0"/>
      <w:marBottom w:val="0"/>
      <w:divBdr>
        <w:top w:val="none" w:sz="0" w:space="0" w:color="auto"/>
        <w:left w:val="none" w:sz="0" w:space="0" w:color="auto"/>
        <w:bottom w:val="none" w:sz="0" w:space="0" w:color="auto"/>
        <w:right w:val="none" w:sz="0" w:space="0" w:color="auto"/>
      </w:divBdr>
      <w:divsChild>
        <w:div w:id="1244602170">
          <w:marLeft w:val="446"/>
          <w:marRight w:val="0"/>
          <w:marTop w:val="0"/>
          <w:marBottom w:val="0"/>
          <w:divBdr>
            <w:top w:val="none" w:sz="0" w:space="0" w:color="auto"/>
            <w:left w:val="none" w:sz="0" w:space="0" w:color="auto"/>
            <w:bottom w:val="none" w:sz="0" w:space="0" w:color="auto"/>
            <w:right w:val="none" w:sz="0" w:space="0" w:color="auto"/>
          </w:divBdr>
        </w:div>
        <w:div w:id="1574074513">
          <w:marLeft w:val="1080"/>
          <w:marRight w:val="0"/>
          <w:marTop w:val="0"/>
          <w:marBottom w:val="0"/>
          <w:divBdr>
            <w:top w:val="none" w:sz="0" w:space="0" w:color="auto"/>
            <w:left w:val="none" w:sz="0" w:space="0" w:color="auto"/>
            <w:bottom w:val="none" w:sz="0" w:space="0" w:color="auto"/>
            <w:right w:val="none" w:sz="0" w:space="0" w:color="auto"/>
          </w:divBdr>
        </w:div>
        <w:div w:id="760955373">
          <w:marLeft w:val="1080"/>
          <w:marRight w:val="0"/>
          <w:marTop w:val="0"/>
          <w:marBottom w:val="0"/>
          <w:divBdr>
            <w:top w:val="none" w:sz="0" w:space="0" w:color="auto"/>
            <w:left w:val="none" w:sz="0" w:space="0" w:color="auto"/>
            <w:bottom w:val="none" w:sz="0" w:space="0" w:color="auto"/>
            <w:right w:val="none" w:sz="0" w:space="0" w:color="auto"/>
          </w:divBdr>
        </w:div>
        <w:div w:id="1440030220">
          <w:marLeft w:val="1080"/>
          <w:marRight w:val="0"/>
          <w:marTop w:val="0"/>
          <w:marBottom w:val="0"/>
          <w:divBdr>
            <w:top w:val="none" w:sz="0" w:space="0" w:color="auto"/>
            <w:left w:val="none" w:sz="0" w:space="0" w:color="auto"/>
            <w:bottom w:val="none" w:sz="0" w:space="0" w:color="auto"/>
            <w:right w:val="none" w:sz="0" w:space="0" w:color="auto"/>
          </w:divBdr>
        </w:div>
        <w:div w:id="1532108032">
          <w:marLeft w:val="1080"/>
          <w:marRight w:val="0"/>
          <w:marTop w:val="0"/>
          <w:marBottom w:val="0"/>
          <w:divBdr>
            <w:top w:val="none" w:sz="0" w:space="0" w:color="auto"/>
            <w:left w:val="none" w:sz="0" w:space="0" w:color="auto"/>
            <w:bottom w:val="none" w:sz="0" w:space="0" w:color="auto"/>
            <w:right w:val="none" w:sz="0" w:space="0" w:color="auto"/>
          </w:divBdr>
        </w:div>
        <w:div w:id="1826504043">
          <w:marLeft w:val="1080"/>
          <w:marRight w:val="0"/>
          <w:marTop w:val="0"/>
          <w:marBottom w:val="0"/>
          <w:divBdr>
            <w:top w:val="none" w:sz="0" w:space="0" w:color="auto"/>
            <w:left w:val="none" w:sz="0" w:space="0" w:color="auto"/>
            <w:bottom w:val="none" w:sz="0" w:space="0" w:color="auto"/>
            <w:right w:val="none" w:sz="0" w:space="0" w:color="auto"/>
          </w:divBdr>
        </w:div>
        <w:div w:id="221646075">
          <w:marLeft w:val="44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4051872">
      <w:bodyDiv w:val="1"/>
      <w:marLeft w:val="0"/>
      <w:marRight w:val="0"/>
      <w:marTop w:val="0"/>
      <w:marBottom w:val="0"/>
      <w:divBdr>
        <w:top w:val="none" w:sz="0" w:space="0" w:color="auto"/>
        <w:left w:val="none" w:sz="0" w:space="0" w:color="auto"/>
        <w:bottom w:val="none" w:sz="0" w:space="0" w:color="auto"/>
        <w:right w:val="none" w:sz="0" w:space="0" w:color="auto"/>
      </w:divBdr>
      <w:divsChild>
        <w:div w:id="370153524">
          <w:marLeft w:val="547"/>
          <w:marRight w:val="0"/>
          <w:marTop w:val="0"/>
          <w:marBottom w:val="0"/>
          <w:divBdr>
            <w:top w:val="none" w:sz="0" w:space="0" w:color="auto"/>
            <w:left w:val="none" w:sz="0" w:space="0" w:color="auto"/>
            <w:bottom w:val="none" w:sz="0" w:space="0" w:color="auto"/>
            <w:right w:val="none" w:sz="0" w:space="0" w:color="auto"/>
          </w:divBdr>
        </w:div>
        <w:div w:id="1673675804">
          <w:marLeft w:val="1166"/>
          <w:marRight w:val="0"/>
          <w:marTop w:val="0"/>
          <w:marBottom w:val="0"/>
          <w:divBdr>
            <w:top w:val="none" w:sz="0" w:space="0" w:color="auto"/>
            <w:left w:val="none" w:sz="0" w:space="0" w:color="auto"/>
            <w:bottom w:val="none" w:sz="0" w:space="0" w:color="auto"/>
            <w:right w:val="none" w:sz="0" w:space="0" w:color="auto"/>
          </w:divBdr>
        </w:div>
        <w:div w:id="952369544">
          <w:marLeft w:val="547"/>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8703632">
      <w:bodyDiv w:val="1"/>
      <w:marLeft w:val="0"/>
      <w:marRight w:val="0"/>
      <w:marTop w:val="0"/>
      <w:marBottom w:val="0"/>
      <w:divBdr>
        <w:top w:val="none" w:sz="0" w:space="0" w:color="auto"/>
        <w:left w:val="none" w:sz="0" w:space="0" w:color="auto"/>
        <w:bottom w:val="none" w:sz="0" w:space="0" w:color="auto"/>
        <w:right w:val="none" w:sz="0" w:space="0" w:color="auto"/>
      </w:divBdr>
      <w:divsChild>
        <w:div w:id="1443451322">
          <w:marLeft w:val="547"/>
          <w:marRight w:val="0"/>
          <w:marTop w:val="0"/>
          <w:marBottom w:val="0"/>
          <w:divBdr>
            <w:top w:val="none" w:sz="0" w:space="0" w:color="auto"/>
            <w:left w:val="none" w:sz="0" w:space="0" w:color="auto"/>
            <w:bottom w:val="none" w:sz="0" w:space="0" w:color="auto"/>
            <w:right w:val="none" w:sz="0" w:space="0" w:color="auto"/>
          </w:divBdr>
        </w:div>
        <w:div w:id="565336032">
          <w:marLeft w:val="547"/>
          <w:marRight w:val="0"/>
          <w:marTop w:val="0"/>
          <w:marBottom w:val="0"/>
          <w:divBdr>
            <w:top w:val="none" w:sz="0" w:space="0" w:color="auto"/>
            <w:left w:val="none" w:sz="0" w:space="0" w:color="auto"/>
            <w:bottom w:val="none" w:sz="0" w:space="0" w:color="auto"/>
            <w:right w:val="none" w:sz="0" w:space="0" w:color="auto"/>
          </w:divBdr>
        </w:div>
        <w:div w:id="1045568076">
          <w:marLeft w:val="547"/>
          <w:marRight w:val="0"/>
          <w:marTop w:val="0"/>
          <w:marBottom w:val="0"/>
          <w:divBdr>
            <w:top w:val="none" w:sz="0" w:space="0" w:color="auto"/>
            <w:left w:val="none" w:sz="0" w:space="0" w:color="auto"/>
            <w:bottom w:val="none" w:sz="0" w:space="0" w:color="auto"/>
            <w:right w:val="none" w:sz="0" w:space="0" w:color="auto"/>
          </w:divBdr>
        </w:div>
        <w:div w:id="1600601878">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267300">
      <w:bodyDiv w:val="1"/>
      <w:marLeft w:val="0"/>
      <w:marRight w:val="0"/>
      <w:marTop w:val="0"/>
      <w:marBottom w:val="0"/>
      <w:divBdr>
        <w:top w:val="none" w:sz="0" w:space="0" w:color="auto"/>
        <w:left w:val="none" w:sz="0" w:space="0" w:color="auto"/>
        <w:bottom w:val="none" w:sz="0" w:space="0" w:color="auto"/>
        <w:right w:val="none" w:sz="0" w:space="0" w:color="auto"/>
      </w:divBdr>
      <w:divsChild>
        <w:div w:id="1871842994">
          <w:marLeft w:val="547"/>
          <w:marRight w:val="0"/>
          <w:marTop w:val="0"/>
          <w:marBottom w:val="0"/>
          <w:divBdr>
            <w:top w:val="none" w:sz="0" w:space="0" w:color="auto"/>
            <w:left w:val="none" w:sz="0" w:space="0" w:color="auto"/>
            <w:bottom w:val="none" w:sz="0" w:space="0" w:color="auto"/>
            <w:right w:val="none" w:sz="0" w:space="0" w:color="auto"/>
          </w:divBdr>
        </w:div>
        <w:div w:id="1180312310">
          <w:marLeft w:val="1166"/>
          <w:marRight w:val="0"/>
          <w:marTop w:val="0"/>
          <w:marBottom w:val="0"/>
          <w:divBdr>
            <w:top w:val="none" w:sz="0" w:space="0" w:color="auto"/>
            <w:left w:val="none" w:sz="0" w:space="0" w:color="auto"/>
            <w:bottom w:val="none" w:sz="0" w:space="0" w:color="auto"/>
            <w:right w:val="none" w:sz="0" w:space="0" w:color="auto"/>
          </w:divBdr>
        </w:div>
        <w:div w:id="1946813659">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4024404">
      <w:bodyDiv w:val="1"/>
      <w:marLeft w:val="0"/>
      <w:marRight w:val="0"/>
      <w:marTop w:val="0"/>
      <w:marBottom w:val="0"/>
      <w:divBdr>
        <w:top w:val="none" w:sz="0" w:space="0" w:color="auto"/>
        <w:left w:val="none" w:sz="0" w:space="0" w:color="auto"/>
        <w:bottom w:val="none" w:sz="0" w:space="0" w:color="auto"/>
        <w:right w:val="none" w:sz="0" w:space="0" w:color="auto"/>
      </w:divBdr>
      <w:divsChild>
        <w:div w:id="1908150582">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9DAAF-CA6A-45C4-819E-CA593E20C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944</Words>
  <Characters>5360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Masaya Okamura</dc:creator>
  <cp:lastModifiedBy>Tomoya Ohara</cp:lastModifiedBy>
  <cp:revision>2</cp:revision>
  <cp:lastPrinted>2017-08-09T04:40:00Z</cp:lastPrinted>
  <dcterms:created xsi:type="dcterms:W3CDTF">2021-11-05T12:55:00Z</dcterms:created>
  <dcterms:modified xsi:type="dcterms:W3CDTF">2021-11-05T12:55:00Z</dcterms:modified>
</cp:coreProperties>
</file>